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B4FA92">
      <w:pPr>
        <w:spacing w:line="360" w:lineRule="auto"/>
        <w:ind w:left="3368" w:right="2586" w:hanging="902"/>
        <w:jc w:val="center"/>
        <w:rPr>
          <w:rFonts w:hint="default" w:ascii="Times New Roman" w:hAnsi="Times New Roman" w:eastAsia="宋体" w:cs="Times New Roman"/>
          <w:b/>
          <w:color w:val="auto"/>
          <w:spacing w:val="-2"/>
          <w:sz w:val="32"/>
          <w:szCs w:val="32"/>
        </w:rPr>
      </w:pPr>
    </w:p>
    <w:p w14:paraId="6CACF14C">
      <w:pPr>
        <w:spacing w:line="360" w:lineRule="auto"/>
        <w:ind w:left="3368" w:right="2586" w:hanging="902"/>
        <w:jc w:val="center"/>
        <w:rPr>
          <w:rFonts w:hint="default" w:ascii="Times New Roman" w:hAnsi="Times New Roman" w:eastAsia="宋体" w:cs="Times New Roman"/>
          <w:b/>
          <w:color w:val="auto"/>
          <w:spacing w:val="-2"/>
          <w:sz w:val="32"/>
          <w:szCs w:val="32"/>
        </w:rPr>
      </w:pPr>
    </w:p>
    <w:p w14:paraId="20CB3CB6">
      <w:pPr>
        <w:autoSpaceDE/>
        <w:autoSpaceDN/>
        <w:spacing w:before="120" w:beforeLines="50" w:after="120" w:afterLines="50" w:line="360" w:lineRule="auto"/>
        <w:ind w:left="0" w:right="0" w:firstLine="0"/>
        <w:jc w:val="center"/>
        <w:rPr>
          <w:rFonts w:hint="default" w:ascii="Times New Roman" w:hAnsi="Times New Roman" w:eastAsia="宋体" w:cs="Times New Roman"/>
          <w:b/>
          <w:color w:val="auto"/>
          <w:kern w:val="2"/>
          <w:sz w:val="44"/>
          <w:szCs w:val="44"/>
          <w:lang w:val="en-US" w:bidi="ar-SA"/>
        </w:rPr>
      </w:pPr>
    </w:p>
    <w:p w14:paraId="116F84A1">
      <w:pPr>
        <w:autoSpaceDE/>
        <w:autoSpaceDN/>
        <w:spacing w:before="120" w:beforeLines="50" w:after="120" w:afterLines="50" w:line="360" w:lineRule="auto"/>
        <w:ind w:left="0" w:right="0" w:firstLine="0"/>
        <w:jc w:val="center"/>
        <w:rPr>
          <w:rFonts w:hint="default" w:ascii="Times New Roman" w:hAnsi="Times New Roman" w:eastAsia="宋体" w:cs="Times New Roman"/>
          <w:b/>
          <w:color w:val="auto"/>
          <w:spacing w:val="0"/>
          <w:kern w:val="2"/>
          <w:sz w:val="44"/>
          <w:szCs w:val="44"/>
          <w:lang w:val="en-US" w:bidi="ar-SA"/>
        </w:rPr>
      </w:pPr>
      <w:r>
        <w:rPr>
          <w:rFonts w:hint="default" w:ascii="Times New Roman" w:hAnsi="Times New Roman" w:eastAsia="宋体" w:cs="Times New Roman"/>
          <w:b/>
          <w:color w:val="auto"/>
          <w:spacing w:val="0"/>
          <w:kern w:val="2"/>
          <w:sz w:val="44"/>
          <w:szCs w:val="44"/>
          <w:lang w:val="en-US" w:bidi="ar-SA"/>
        </w:rPr>
        <w:t>嘉亨家化股份有限公司</w:t>
      </w:r>
    </w:p>
    <w:p w14:paraId="019DD687">
      <w:pPr>
        <w:autoSpaceDE/>
        <w:autoSpaceDN/>
        <w:spacing w:beforeLines="0" w:afterLines="0" w:line="360" w:lineRule="auto"/>
        <w:jc w:val="center"/>
        <w:rPr>
          <w:rFonts w:hint="default" w:ascii="Times New Roman" w:hAnsi="Times New Roman" w:eastAsia="宋体" w:cs="Times New Roman"/>
          <w:b/>
          <w:color w:val="auto"/>
          <w:kern w:val="2"/>
          <w:sz w:val="44"/>
          <w:szCs w:val="44"/>
          <w:lang w:val="en-US" w:bidi="ar-SA"/>
        </w:rPr>
      </w:pPr>
    </w:p>
    <w:p w14:paraId="29C7EA99">
      <w:pPr>
        <w:autoSpaceDE/>
        <w:autoSpaceDN/>
        <w:spacing w:beforeLines="0" w:afterLines="0" w:line="360" w:lineRule="auto"/>
        <w:jc w:val="center"/>
        <w:rPr>
          <w:rFonts w:hint="default" w:ascii="Times New Roman" w:hAnsi="Times New Roman" w:eastAsia="宋体" w:cs="Times New Roman"/>
          <w:b/>
          <w:color w:val="auto"/>
          <w:kern w:val="2"/>
          <w:sz w:val="44"/>
          <w:szCs w:val="44"/>
          <w:lang w:val="en-US" w:bidi="ar-SA"/>
        </w:rPr>
      </w:pPr>
      <w:bookmarkStart w:id="1" w:name="_GoBack"/>
      <w:bookmarkEnd w:id="1"/>
    </w:p>
    <w:p w14:paraId="5128E38F">
      <w:pPr>
        <w:autoSpaceDE/>
        <w:autoSpaceDN/>
        <w:spacing w:before="120" w:beforeLines="50" w:after="120" w:afterLines="50" w:line="360" w:lineRule="auto"/>
        <w:ind w:left="0" w:right="0" w:firstLine="0"/>
        <w:jc w:val="center"/>
        <w:rPr>
          <w:rFonts w:hint="default" w:ascii="Times New Roman" w:hAnsi="Times New Roman" w:eastAsia="宋体" w:cs="Times New Roman"/>
          <w:b/>
          <w:color w:val="auto"/>
          <w:kern w:val="2"/>
          <w:sz w:val="44"/>
          <w:szCs w:val="44"/>
          <w:lang w:val="en-US" w:bidi="ar-SA"/>
        </w:rPr>
      </w:pPr>
      <w:r>
        <w:rPr>
          <w:rFonts w:hint="default" w:ascii="Times New Roman" w:hAnsi="Times New Roman" w:eastAsia="宋体" w:cs="Times New Roman"/>
          <w:b/>
          <w:color w:val="auto"/>
          <w:kern w:val="2"/>
          <w:sz w:val="44"/>
          <w:szCs w:val="44"/>
          <w:lang w:val="en-US" w:bidi="ar-SA"/>
        </w:rPr>
        <w:t>投资者关系管理制度</w:t>
      </w:r>
    </w:p>
    <w:p w14:paraId="5C91E7DF">
      <w:pPr>
        <w:autoSpaceDE/>
        <w:autoSpaceDN/>
        <w:spacing w:beforeLines="0" w:afterLines="0" w:line="360" w:lineRule="auto"/>
        <w:jc w:val="center"/>
        <w:rPr>
          <w:rFonts w:hint="default" w:ascii="Times New Roman" w:hAnsi="Times New Roman" w:eastAsia="宋体" w:cs="Times New Roman"/>
          <w:b/>
          <w:color w:val="auto"/>
          <w:kern w:val="2"/>
          <w:sz w:val="44"/>
          <w:szCs w:val="44"/>
          <w:lang w:val="en-US" w:bidi="ar-SA"/>
        </w:rPr>
      </w:pPr>
    </w:p>
    <w:p w14:paraId="64063202">
      <w:pPr>
        <w:autoSpaceDE/>
        <w:autoSpaceDN/>
        <w:spacing w:beforeLines="0" w:afterLines="0" w:line="360" w:lineRule="auto"/>
        <w:jc w:val="center"/>
        <w:rPr>
          <w:rFonts w:hint="default" w:ascii="Times New Roman" w:hAnsi="Times New Roman" w:eastAsia="宋体" w:cs="Times New Roman"/>
          <w:b/>
          <w:color w:val="auto"/>
          <w:kern w:val="2"/>
          <w:sz w:val="44"/>
          <w:szCs w:val="44"/>
          <w:lang w:val="en-US" w:bidi="ar-SA"/>
        </w:rPr>
      </w:pPr>
    </w:p>
    <w:p w14:paraId="15A7F24E">
      <w:pPr>
        <w:autoSpaceDE/>
        <w:autoSpaceDN/>
        <w:spacing w:beforeLines="0" w:afterLines="0" w:line="360" w:lineRule="auto"/>
        <w:jc w:val="center"/>
        <w:rPr>
          <w:rFonts w:hint="default" w:ascii="Times New Roman" w:hAnsi="Times New Roman" w:eastAsia="宋体" w:cs="Times New Roman"/>
          <w:b/>
          <w:color w:val="auto"/>
          <w:kern w:val="2"/>
          <w:sz w:val="44"/>
          <w:szCs w:val="44"/>
          <w:lang w:val="en-US" w:bidi="ar-SA"/>
        </w:rPr>
      </w:pPr>
    </w:p>
    <w:p w14:paraId="74A35646">
      <w:pPr>
        <w:autoSpaceDE/>
        <w:autoSpaceDN/>
        <w:spacing w:beforeLines="0" w:afterLines="0" w:line="360" w:lineRule="auto"/>
        <w:jc w:val="center"/>
        <w:rPr>
          <w:rFonts w:hint="default" w:ascii="Times New Roman" w:hAnsi="Times New Roman" w:eastAsia="宋体" w:cs="Times New Roman"/>
          <w:b/>
          <w:color w:val="auto"/>
          <w:kern w:val="2"/>
          <w:sz w:val="44"/>
          <w:szCs w:val="44"/>
          <w:lang w:val="en-US" w:bidi="ar-SA"/>
        </w:rPr>
      </w:pPr>
    </w:p>
    <w:p w14:paraId="74980231">
      <w:pPr>
        <w:autoSpaceDE/>
        <w:autoSpaceDN/>
        <w:spacing w:beforeLines="0" w:afterLines="0" w:line="360" w:lineRule="auto"/>
        <w:jc w:val="center"/>
        <w:rPr>
          <w:rFonts w:hint="default" w:ascii="Times New Roman" w:hAnsi="Times New Roman" w:eastAsia="宋体" w:cs="Times New Roman"/>
          <w:b/>
          <w:color w:val="auto"/>
          <w:kern w:val="2"/>
          <w:sz w:val="44"/>
          <w:szCs w:val="44"/>
          <w:lang w:val="en-US" w:bidi="ar-SA"/>
        </w:rPr>
      </w:pPr>
    </w:p>
    <w:p w14:paraId="5E428949">
      <w:pPr>
        <w:spacing w:line="360" w:lineRule="auto"/>
        <w:ind w:left="3368" w:right="2586" w:hanging="902"/>
        <w:jc w:val="center"/>
        <w:rPr>
          <w:rFonts w:hint="default" w:ascii="Times New Roman" w:hAnsi="Times New Roman" w:eastAsia="宋体" w:cs="Times New Roman"/>
          <w:b/>
          <w:color w:val="auto"/>
          <w:sz w:val="24"/>
          <w:szCs w:val="24"/>
        </w:rPr>
      </w:pPr>
      <w:r>
        <w:rPr>
          <w:rFonts w:hint="default" w:ascii="Times New Roman" w:hAnsi="Times New Roman" w:eastAsia="宋体" w:cs="Times New Roman"/>
          <w:b/>
          <w:color w:val="auto"/>
          <w:sz w:val="32"/>
          <w:szCs w:val="32"/>
        </w:rPr>
        <w:t>二〇二</w:t>
      </w:r>
      <w:r>
        <w:rPr>
          <w:rFonts w:hint="default" w:ascii="Times New Roman" w:hAnsi="Times New Roman" w:eastAsia="宋体" w:cs="Times New Roman"/>
          <w:b/>
          <w:color w:val="auto"/>
          <w:sz w:val="32"/>
          <w:szCs w:val="32"/>
          <w:lang w:val="en-US" w:eastAsia="zh-CN"/>
        </w:rPr>
        <w:t>五</w:t>
      </w:r>
      <w:r>
        <w:rPr>
          <w:rFonts w:hint="default" w:ascii="Times New Roman" w:hAnsi="Times New Roman" w:eastAsia="宋体" w:cs="Times New Roman"/>
          <w:b/>
          <w:color w:val="auto"/>
          <w:sz w:val="32"/>
          <w:szCs w:val="32"/>
        </w:rPr>
        <w:t>年</w:t>
      </w:r>
      <w:r>
        <w:rPr>
          <w:rFonts w:hint="default" w:ascii="Times New Roman" w:hAnsi="Times New Roman" w:eastAsia="宋体" w:cs="Times New Roman"/>
          <w:b/>
          <w:color w:val="auto"/>
          <w:sz w:val="32"/>
          <w:szCs w:val="32"/>
          <w:lang w:val="en-US" w:eastAsia="zh-CN"/>
        </w:rPr>
        <w:t>十</w:t>
      </w:r>
      <w:r>
        <w:rPr>
          <w:rFonts w:hint="default" w:ascii="Times New Roman" w:hAnsi="Times New Roman" w:eastAsia="宋体" w:cs="Times New Roman"/>
          <w:b/>
          <w:color w:val="auto"/>
          <w:sz w:val="32"/>
          <w:szCs w:val="32"/>
        </w:rPr>
        <w:t>月</w:t>
      </w:r>
      <w:r>
        <w:rPr>
          <w:rFonts w:hint="default" w:ascii="Times New Roman" w:hAnsi="Times New Roman" w:eastAsia="宋体" w:cs="Times New Roman"/>
          <w:b/>
          <w:color w:val="auto"/>
          <w:sz w:val="32"/>
          <w:szCs w:val="32"/>
          <w:lang w:val="en-US" w:eastAsia="zh-CN"/>
        </w:rPr>
        <w:t>修订</w:t>
      </w:r>
    </w:p>
    <w:p w14:paraId="79E3628A">
      <w:pPr>
        <w:spacing w:before="120" w:beforeLines="50" w:after="120" w:afterLines="50" w:line="360" w:lineRule="auto"/>
        <w:jc w:val="center"/>
        <w:rPr>
          <w:rFonts w:hint="default" w:ascii="Times New Roman" w:hAnsi="Times New Roman" w:eastAsia="宋体" w:cs="Times New Roman"/>
          <w:b/>
          <w:bCs/>
          <w:color w:val="auto"/>
          <w:sz w:val="44"/>
          <w:szCs w:val="44"/>
        </w:rPr>
        <w:sectPr>
          <w:footerReference r:id="rId3" w:type="default"/>
          <w:pgSz w:w="11910" w:h="16840"/>
          <w:pgMar w:top="1440" w:right="1800" w:bottom="1440" w:left="1800" w:header="1134" w:footer="964" w:gutter="0"/>
          <w:pgBorders>
            <w:top w:val="none" w:sz="0" w:space="0"/>
            <w:left w:val="none" w:sz="0" w:space="0"/>
            <w:bottom w:val="none" w:sz="0" w:space="0"/>
            <w:right w:val="none" w:sz="0" w:space="0"/>
          </w:pgBorders>
          <w:cols w:space="720" w:num="1"/>
          <w:docGrid w:linePitch="299" w:charSpace="0"/>
        </w:sectPr>
      </w:pPr>
    </w:p>
    <w:p w14:paraId="4E59D7AE">
      <w:pPr>
        <w:spacing w:before="120" w:beforeLines="50" w:after="150" w:afterLines="50" w:line="360" w:lineRule="auto"/>
        <w:ind w:left="0" w:right="0" w:firstLine="0"/>
        <w:jc w:val="center"/>
        <w:rPr>
          <w:rFonts w:hint="default" w:ascii="Times New Roman" w:hAnsi="Times New Roman" w:eastAsia="宋体" w:cs="Times New Roman"/>
          <w:b/>
          <w:color w:val="auto"/>
          <w:spacing w:val="-2"/>
          <w:sz w:val="32"/>
          <w:szCs w:val="32"/>
        </w:rPr>
      </w:pPr>
      <w:bookmarkStart w:id="0" w:name="_Toc40973705"/>
      <w:r>
        <w:rPr>
          <w:rFonts w:hint="default" w:ascii="Times New Roman" w:hAnsi="Times New Roman" w:eastAsia="宋体" w:cs="Times New Roman"/>
          <w:b/>
          <w:color w:val="auto"/>
          <w:spacing w:val="-2"/>
          <w:sz w:val="32"/>
          <w:szCs w:val="32"/>
        </w:rPr>
        <w:t>嘉亨家化股份有限公司</w:t>
      </w:r>
    </w:p>
    <w:p w14:paraId="28C59784">
      <w:pPr>
        <w:spacing w:before="120" w:beforeLines="50" w:after="150" w:afterLines="50" w:line="360" w:lineRule="auto"/>
        <w:ind w:left="0" w:right="0" w:firstLine="0"/>
        <w:jc w:val="center"/>
        <w:rPr>
          <w:rFonts w:hint="default" w:ascii="Times New Roman" w:hAnsi="Times New Roman" w:eastAsia="宋体" w:cs="Times New Roman"/>
          <w:b/>
          <w:color w:val="auto"/>
          <w:sz w:val="32"/>
          <w:szCs w:val="32"/>
        </w:rPr>
      </w:pPr>
      <w:r>
        <w:rPr>
          <w:rFonts w:hint="default" w:ascii="Times New Roman" w:hAnsi="Times New Roman" w:eastAsia="宋体" w:cs="Times New Roman"/>
          <w:b/>
          <w:color w:val="auto"/>
          <w:sz w:val="32"/>
          <w:szCs w:val="32"/>
        </w:rPr>
        <w:t>投资者关系管理制度</w:t>
      </w:r>
    </w:p>
    <w:p w14:paraId="183F4D3E">
      <w:pPr>
        <w:keepNext/>
        <w:keepLines/>
        <w:autoSpaceDE/>
        <w:autoSpaceDN/>
        <w:spacing w:before="150" w:beforeLines="50" w:after="150" w:afterLines="50" w:line="360" w:lineRule="auto"/>
        <w:ind w:left="0"/>
        <w:jc w:val="center"/>
        <w:outlineLvl w:val="1"/>
        <w:rPr>
          <w:rFonts w:hint="default" w:ascii="Times New Roman" w:hAnsi="Times New Roman" w:eastAsia="宋体" w:cs="Times New Roman"/>
          <w:b/>
          <w:bCs/>
          <w:color w:val="auto"/>
          <w:kern w:val="2"/>
          <w:sz w:val="24"/>
          <w:szCs w:val="24"/>
          <w:lang w:val="en-US" w:bidi="ar-SA"/>
        </w:rPr>
      </w:pPr>
    </w:p>
    <w:p w14:paraId="72670285">
      <w:pPr>
        <w:keepNext/>
        <w:keepLines/>
        <w:autoSpaceDE/>
        <w:autoSpaceDN/>
        <w:spacing w:before="0" w:beforeLines="0" w:after="0" w:afterLines="0" w:line="360" w:lineRule="auto"/>
        <w:ind w:left="0"/>
        <w:jc w:val="center"/>
        <w:outlineLvl w:val="1"/>
        <w:rPr>
          <w:rFonts w:hint="default" w:ascii="Times New Roman" w:hAnsi="Times New Roman" w:eastAsia="宋体" w:cs="Times New Roman"/>
          <w:b/>
          <w:bCs/>
          <w:color w:val="auto"/>
          <w:kern w:val="2"/>
          <w:sz w:val="24"/>
          <w:szCs w:val="24"/>
          <w:lang w:val="en-US" w:bidi="ar-SA"/>
        </w:rPr>
      </w:pPr>
      <w:r>
        <w:rPr>
          <w:rFonts w:hint="default" w:ascii="Times New Roman" w:hAnsi="Times New Roman" w:eastAsia="宋体" w:cs="Times New Roman"/>
          <w:b/>
          <w:bCs/>
          <w:color w:val="auto"/>
          <w:kern w:val="2"/>
          <w:sz w:val="24"/>
          <w:szCs w:val="24"/>
          <w:lang w:val="en-US" w:bidi="ar-SA"/>
        </w:rPr>
        <w:t>第一章 总则</w:t>
      </w:r>
      <w:bookmarkEnd w:id="0"/>
    </w:p>
    <w:p w14:paraId="54F5DE65">
      <w:pPr>
        <w:numPr>
          <w:ilvl w:val="0"/>
          <w:numId w:val="1"/>
        </w:numPr>
        <w:spacing w:before="0" w:beforeLines="0" w:after="0" w:afterLines="0" w:line="360" w:lineRule="auto"/>
        <w:ind w:left="0" w:firstLine="512" w:firstLineChars="200"/>
        <w:jc w:val="both"/>
        <w:rPr>
          <w:rFonts w:hint="default" w:ascii="Times New Roman" w:hAnsi="Times New Roman" w:eastAsia="宋体" w:cs="Times New Roman"/>
          <w:bCs/>
          <w:color w:val="auto"/>
          <w:spacing w:val="8"/>
          <w:sz w:val="24"/>
          <w:szCs w:val="24"/>
        </w:rPr>
      </w:pPr>
      <w:r>
        <w:rPr>
          <w:rFonts w:hint="default" w:ascii="Times New Roman" w:hAnsi="Times New Roman" w:eastAsia="宋体" w:cs="Times New Roman"/>
          <w:bCs/>
          <w:color w:val="auto"/>
          <w:spacing w:val="8"/>
          <w:sz w:val="24"/>
          <w:szCs w:val="24"/>
        </w:rPr>
        <w:t>为进一步完善嘉亨家化股份有限公司（以下简称“公司”）治理结构，规范公司投资者关系工作，加强公司与投资者和潜在投资者（以下统称“投资者”）之间的沟通，加深投资者对公司的了解和认同，促进公司和投资者之间长期、稳定的良好关系，提升公司的诚信度、核心竞争能力和持续发展能力，实现公司价值最大化和股东利益最大化，根据《中华人民共和国公司法》《中华人民共和国证券法》《上市公司与投资者关系工作指引》《深圳证券交易所创业板股票上市规则》《深圳证券交易所上市公司自律监管指引第2号—创业板上市公司规范运作》等</w:t>
      </w:r>
      <w:r>
        <w:rPr>
          <w:rFonts w:hint="eastAsia" w:ascii="Times New Roman" w:hAnsi="Times New Roman" w:eastAsia="宋体" w:cs="Times New Roman"/>
          <w:bCs/>
          <w:color w:val="auto"/>
          <w:spacing w:val="8"/>
          <w:sz w:val="24"/>
          <w:szCs w:val="24"/>
          <w:lang w:eastAsia="zh-CN"/>
        </w:rPr>
        <w:t>法律法规</w:t>
      </w:r>
      <w:r>
        <w:rPr>
          <w:rFonts w:hint="default" w:ascii="Times New Roman" w:hAnsi="Times New Roman" w:eastAsia="宋体" w:cs="Times New Roman"/>
          <w:bCs/>
          <w:color w:val="auto"/>
          <w:spacing w:val="8"/>
          <w:sz w:val="24"/>
          <w:szCs w:val="24"/>
        </w:rPr>
        <w:t>、规范性文件及《嘉亨家化股份有限公司章程》（以下简称“《公司章程》”）的规定，结合公司实际情况，制定本制度。</w:t>
      </w:r>
    </w:p>
    <w:p w14:paraId="2179FC14">
      <w:pPr>
        <w:numPr>
          <w:ilvl w:val="0"/>
          <w:numId w:val="1"/>
        </w:numPr>
        <w:spacing w:before="0" w:beforeLines="0" w:after="0" w:afterLines="0" w:line="360" w:lineRule="auto"/>
        <w:ind w:left="0" w:firstLine="512" w:firstLineChars="200"/>
        <w:jc w:val="both"/>
        <w:rPr>
          <w:rFonts w:hint="default" w:ascii="Times New Roman" w:hAnsi="Times New Roman" w:eastAsia="宋体" w:cs="Times New Roman"/>
          <w:bCs/>
          <w:color w:val="auto"/>
          <w:spacing w:val="8"/>
          <w:sz w:val="24"/>
          <w:szCs w:val="24"/>
        </w:rPr>
      </w:pPr>
      <w:r>
        <w:rPr>
          <w:rFonts w:hint="default" w:ascii="Times New Roman" w:hAnsi="Times New Roman" w:eastAsia="宋体" w:cs="Times New Roman"/>
          <w:bCs/>
          <w:color w:val="auto"/>
          <w:spacing w:val="8"/>
          <w:sz w:val="24"/>
          <w:szCs w:val="24"/>
        </w:rPr>
        <w:t>投资者关系管理是</w:t>
      </w:r>
      <w:r>
        <w:rPr>
          <w:rFonts w:hint="default" w:ascii="Times New Roman" w:hAnsi="Times New Roman" w:eastAsia="宋体" w:cs="Times New Roman"/>
          <w:i w:val="0"/>
          <w:iCs w:val="0"/>
          <w:caps w:val="0"/>
          <w:color w:val="auto"/>
          <w:spacing w:val="0"/>
          <w:sz w:val="24"/>
          <w:szCs w:val="24"/>
          <w:shd w:val="clear" w:fill="FFFFFF"/>
        </w:rPr>
        <w:t>公司通过便利股东权利行使、信息披露、互动交流和诉求处理等工作，加强与投资者及潜在投资者之间的沟通，增进投资者对上市公司的了解和认同，以提升上市公司治理水平和企业整体价值，实现尊重投资者、回报投资者、保护投资者目的的相关活动</w:t>
      </w:r>
      <w:r>
        <w:rPr>
          <w:rFonts w:hint="default" w:ascii="Times New Roman" w:hAnsi="Times New Roman" w:eastAsia="宋体" w:cs="Times New Roman"/>
          <w:bCs/>
          <w:color w:val="auto"/>
          <w:spacing w:val="8"/>
          <w:sz w:val="24"/>
          <w:szCs w:val="24"/>
        </w:rPr>
        <w:t>。</w:t>
      </w:r>
    </w:p>
    <w:p w14:paraId="1AF8CF59">
      <w:pPr>
        <w:numPr>
          <w:ilvl w:val="0"/>
          <w:numId w:val="1"/>
        </w:numPr>
        <w:spacing w:before="0" w:beforeLines="0" w:after="0" w:afterLines="0" w:line="360" w:lineRule="auto"/>
        <w:ind w:left="0" w:firstLine="512" w:firstLineChars="200"/>
        <w:jc w:val="both"/>
        <w:rPr>
          <w:rFonts w:hint="default" w:ascii="Times New Roman" w:hAnsi="Times New Roman" w:eastAsia="宋体" w:cs="Times New Roman"/>
          <w:bCs/>
          <w:color w:val="auto"/>
          <w:spacing w:val="8"/>
          <w:sz w:val="24"/>
          <w:szCs w:val="24"/>
        </w:rPr>
      </w:pPr>
      <w:r>
        <w:rPr>
          <w:rFonts w:hint="default" w:ascii="Times New Roman" w:hAnsi="Times New Roman" w:eastAsia="宋体" w:cs="Times New Roman"/>
          <w:bCs/>
          <w:color w:val="auto"/>
          <w:spacing w:val="8"/>
          <w:sz w:val="24"/>
          <w:szCs w:val="24"/>
        </w:rPr>
        <w:t>公司投资者关系管理工作应当体现公平、公正、公开原则，客观、真实、准确、完整地介绍和反映公司的实际状况。</w:t>
      </w:r>
    </w:p>
    <w:p w14:paraId="4F76C1B3">
      <w:pPr>
        <w:numPr>
          <w:ilvl w:val="0"/>
          <w:numId w:val="1"/>
        </w:numPr>
        <w:spacing w:before="0" w:beforeLines="0" w:after="0" w:afterLines="0" w:line="360" w:lineRule="auto"/>
        <w:ind w:left="0" w:firstLine="512" w:firstLineChars="200"/>
        <w:jc w:val="both"/>
        <w:rPr>
          <w:rFonts w:hint="default" w:ascii="Times New Roman" w:hAnsi="Times New Roman" w:eastAsia="宋体" w:cs="Times New Roman"/>
          <w:bCs/>
          <w:color w:val="auto"/>
          <w:spacing w:val="8"/>
          <w:sz w:val="24"/>
          <w:szCs w:val="24"/>
        </w:rPr>
      </w:pPr>
      <w:r>
        <w:rPr>
          <w:rFonts w:hint="default" w:ascii="Times New Roman" w:hAnsi="Times New Roman" w:eastAsia="宋体" w:cs="Times New Roman"/>
          <w:bCs/>
          <w:color w:val="auto"/>
          <w:spacing w:val="8"/>
          <w:sz w:val="24"/>
          <w:szCs w:val="24"/>
        </w:rPr>
        <w:t>公司投资者关系管理工作应当严格遵守有关法律、行政法规、部门规章、规范性文件和深圳证券交易所的相关规定，不得在投资者关系活动中以任何方式发布或者泄露未公开重大信息。</w:t>
      </w:r>
    </w:p>
    <w:p w14:paraId="21F5DBED">
      <w:pPr>
        <w:numPr>
          <w:ilvl w:val="0"/>
          <w:numId w:val="0"/>
        </w:numPr>
        <w:spacing w:before="0" w:beforeLines="0" w:after="0" w:afterLines="0" w:line="360" w:lineRule="auto"/>
        <w:ind w:left="496" w:firstLine="0" w:firstLineChars="0"/>
        <w:jc w:val="both"/>
        <w:rPr>
          <w:rFonts w:hint="default" w:ascii="Times New Roman" w:hAnsi="Times New Roman" w:eastAsia="宋体" w:cs="Times New Roman"/>
          <w:bCs/>
          <w:color w:val="auto"/>
          <w:spacing w:val="8"/>
          <w:sz w:val="24"/>
          <w:szCs w:val="24"/>
        </w:rPr>
      </w:pPr>
    </w:p>
    <w:p w14:paraId="644F201F">
      <w:pPr>
        <w:autoSpaceDE/>
        <w:autoSpaceDN/>
        <w:spacing w:before="0" w:beforeLines="0" w:after="0" w:afterLines="0" w:line="360" w:lineRule="auto"/>
        <w:ind w:left="0"/>
        <w:jc w:val="center"/>
        <w:outlineLvl w:val="1"/>
        <w:rPr>
          <w:rFonts w:hint="default" w:ascii="Times New Roman" w:hAnsi="Times New Roman" w:eastAsia="宋体" w:cs="Times New Roman"/>
          <w:b/>
          <w:bCs/>
          <w:color w:val="auto"/>
          <w:spacing w:val="0"/>
          <w:kern w:val="2"/>
          <w:sz w:val="24"/>
          <w:szCs w:val="24"/>
          <w:lang w:val="en-US" w:bidi="ar-SA"/>
        </w:rPr>
      </w:pPr>
      <w:r>
        <w:rPr>
          <w:rFonts w:hint="default" w:ascii="Times New Roman" w:hAnsi="Times New Roman" w:eastAsia="宋体" w:cs="Times New Roman"/>
          <w:b/>
          <w:bCs/>
          <w:color w:val="auto"/>
          <w:spacing w:val="0"/>
          <w:kern w:val="2"/>
          <w:sz w:val="24"/>
          <w:szCs w:val="24"/>
          <w:lang w:val="en-US" w:bidi="ar-SA"/>
        </w:rPr>
        <w:t>第二章 投资者关系</w:t>
      </w:r>
      <w:r>
        <w:rPr>
          <w:rFonts w:hint="default" w:ascii="Times New Roman" w:hAnsi="Times New Roman" w:eastAsia="宋体" w:cs="Times New Roman"/>
          <w:b/>
          <w:bCs/>
          <w:color w:val="auto"/>
          <w:spacing w:val="0"/>
          <w:kern w:val="2"/>
          <w:sz w:val="24"/>
          <w:szCs w:val="24"/>
          <w:lang w:val="en-US" w:eastAsia="zh-CN" w:bidi="ar-SA"/>
        </w:rPr>
        <w:t>管理</w:t>
      </w:r>
      <w:r>
        <w:rPr>
          <w:rFonts w:hint="default" w:ascii="Times New Roman" w:hAnsi="Times New Roman" w:eastAsia="宋体" w:cs="Times New Roman"/>
          <w:b/>
          <w:bCs/>
          <w:color w:val="auto"/>
          <w:spacing w:val="0"/>
          <w:kern w:val="2"/>
          <w:sz w:val="24"/>
          <w:szCs w:val="24"/>
          <w:lang w:val="en-US" w:bidi="ar-SA"/>
        </w:rPr>
        <w:t>的原则和目的</w:t>
      </w:r>
    </w:p>
    <w:p w14:paraId="586065C6">
      <w:pPr>
        <w:numPr>
          <w:ilvl w:val="0"/>
          <w:numId w:val="1"/>
        </w:numPr>
        <w:spacing w:before="0" w:beforeLines="0" w:after="0" w:afterLines="0" w:line="360" w:lineRule="auto"/>
        <w:ind w:left="0" w:firstLine="512" w:firstLineChars="200"/>
        <w:jc w:val="both"/>
        <w:rPr>
          <w:rFonts w:hint="default" w:ascii="Times New Roman" w:hAnsi="Times New Roman" w:eastAsia="宋体" w:cs="Times New Roman"/>
          <w:bCs/>
          <w:color w:val="auto"/>
          <w:spacing w:val="8"/>
          <w:sz w:val="24"/>
          <w:szCs w:val="24"/>
        </w:rPr>
      </w:pPr>
      <w:r>
        <w:rPr>
          <w:rFonts w:hint="default" w:ascii="Times New Roman" w:hAnsi="Times New Roman" w:eastAsia="宋体" w:cs="Times New Roman"/>
          <w:bCs/>
          <w:color w:val="auto"/>
          <w:spacing w:val="8"/>
          <w:sz w:val="24"/>
          <w:szCs w:val="24"/>
        </w:rPr>
        <w:t>投资者关系</w:t>
      </w:r>
      <w:r>
        <w:rPr>
          <w:rFonts w:hint="default" w:ascii="Times New Roman" w:hAnsi="Times New Roman" w:eastAsia="宋体" w:cs="Times New Roman"/>
          <w:bCs/>
          <w:color w:val="auto"/>
          <w:spacing w:val="8"/>
          <w:sz w:val="24"/>
          <w:szCs w:val="24"/>
          <w:lang w:val="en-US" w:eastAsia="zh-CN"/>
        </w:rPr>
        <w:t>管理</w:t>
      </w:r>
      <w:r>
        <w:rPr>
          <w:rFonts w:hint="default" w:ascii="Times New Roman" w:hAnsi="Times New Roman" w:eastAsia="宋体" w:cs="Times New Roman"/>
          <w:bCs/>
          <w:color w:val="auto"/>
          <w:spacing w:val="8"/>
          <w:sz w:val="24"/>
          <w:szCs w:val="24"/>
        </w:rPr>
        <w:t>的基本原则是：</w:t>
      </w:r>
    </w:p>
    <w:p w14:paraId="33764E6A">
      <w:pPr>
        <w:keepNext w:val="0"/>
        <w:keepLines w:val="0"/>
        <w:widowControl w:val="0"/>
        <w:suppressLineNumbers w:val="0"/>
        <w:pBdr>
          <w:top w:val="none" w:color="auto" w:sz="0" w:space="0"/>
        </w:pBdr>
        <w:shd w:val="clear"/>
        <w:spacing w:before="0" w:beforeLines="0" w:beforeAutospacing="0" w:after="0" w:afterLines="0" w:afterAutospacing="0" w:line="360" w:lineRule="auto"/>
        <w:ind w:left="0" w:right="0" w:firstLine="480" w:firstLineChars="200"/>
        <w:rPr>
          <w:rFonts w:hint="default" w:ascii="Times New Roman" w:hAnsi="Times New Roman" w:eastAsia="宋体" w:cs="Times New Roman"/>
          <w:i w:val="0"/>
          <w:iCs w:val="0"/>
          <w:caps w:val="0"/>
          <w:color w:val="auto"/>
          <w:spacing w:val="0"/>
          <w:sz w:val="24"/>
          <w:szCs w:val="24"/>
          <w:shd w:val="clear" w:color="auto" w:fill="auto"/>
        </w:rPr>
      </w:pPr>
      <w:r>
        <w:rPr>
          <w:rFonts w:hint="default" w:ascii="Times New Roman" w:hAnsi="Times New Roman" w:eastAsia="宋体" w:cs="Times New Roman"/>
          <w:i w:val="0"/>
          <w:iCs w:val="0"/>
          <w:caps w:val="0"/>
          <w:color w:val="auto"/>
          <w:spacing w:val="0"/>
          <w:sz w:val="24"/>
          <w:szCs w:val="24"/>
          <w:shd w:val="clear" w:color="auto" w:fill="auto"/>
        </w:rPr>
        <w:t>（一）合规性原则。上市公司投资者关系管理应当在依法履行信息披露义务的基础上开展，符合</w:t>
      </w:r>
      <w:r>
        <w:rPr>
          <w:rFonts w:hint="eastAsia" w:ascii="Times New Roman" w:hAnsi="Times New Roman" w:eastAsia="宋体" w:cs="Times New Roman"/>
          <w:i w:val="0"/>
          <w:iCs w:val="0"/>
          <w:caps w:val="0"/>
          <w:color w:val="auto"/>
          <w:spacing w:val="0"/>
          <w:sz w:val="24"/>
          <w:szCs w:val="24"/>
          <w:shd w:val="clear" w:color="auto" w:fill="auto"/>
          <w:lang w:eastAsia="zh-CN"/>
        </w:rPr>
        <w:t>法律法规</w:t>
      </w:r>
      <w:r>
        <w:rPr>
          <w:rFonts w:hint="default" w:ascii="Times New Roman" w:hAnsi="Times New Roman" w:eastAsia="宋体" w:cs="Times New Roman"/>
          <w:i w:val="0"/>
          <w:iCs w:val="0"/>
          <w:caps w:val="0"/>
          <w:color w:val="auto"/>
          <w:spacing w:val="0"/>
          <w:sz w:val="24"/>
          <w:szCs w:val="24"/>
          <w:shd w:val="clear" w:color="auto" w:fill="auto"/>
        </w:rPr>
        <w:t>、规章及规范性文件、行业规范和自律规则、公司内部规章制度，以及行业普遍遵守的道德规范和行为准则。</w:t>
      </w:r>
    </w:p>
    <w:p w14:paraId="050B7DEC">
      <w:pPr>
        <w:keepNext w:val="0"/>
        <w:keepLines w:val="0"/>
        <w:widowControl w:val="0"/>
        <w:suppressLineNumbers w:val="0"/>
        <w:pBdr>
          <w:top w:val="none" w:color="auto" w:sz="0" w:space="0"/>
        </w:pBdr>
        <w:shd w:val="clear"/>
        <w:spacing w:before="0" w:beforeLines="0" w:beforeAutospacing="0" w:after="0" w:afterLines="0" w:afterAutospacing="0" w:line="360" w:lineRule="auto"/>
        <w:ind w:left="0" w:right="0" w:firstLine="480" w:firstLineChars="200"/>
        <w:rPr>
          <w:rFonts w:hint="default" w:ascii="Times New Roman" w:hAnsi="Times New Roman" w:eastAsia="宋体" w:cs="Times New Roman"/>
          <w:i w:val="0"/>
          <w:iCs w:val="0"/>
          <w:caps w:val="0"/>
          <w:color w:val="auto"/>
          <w:spacing w:val="0"/>
          <w:sz w:val="24"/>
          <w:szCs w:val="24"/>
          <w:shd w:val="clear" w:color="auto" w:fill="auto"/>
        </w:rPr>
      </w:pPr>
      <w:r>
        <w:rPr>
          <w:rFonts w:hint="default" w:ascii="Times New Roman" w:hAnsi="Times New Roman" w:eastAsia="宋体" w:cs="Times New Roman"/>
          <w:i w:val="0"/>
          <w:iCs w:val="0"/>
          <w:caps w:val="0"/>
          <w:color w:val="auto"/>
          <w:spacing w:val="0"/>
          <w:sz w:val="24"/>
          <w:szCs w:val="24"/>
          <w:shd w:val="clear" w:color="auto" w:fill="auto"/>
        </w:rPr>
        <w:t>（二）平等性原则。上市公司开展投资者关系管理活动，应当平等对待所有投资者，尤其为中小投资者参与活动创造机会、提供便利。</w:t>
      </w:r>
    </w:p>
    <w:p w14:paraId="2C3A0D59">
      <w:pPr>
        <w:keepNext w:val="0"/>
        <w:keepLines w:val="0"/>
        <w:widowControl w:val="0"/>
        <w:suppressLineNumbers w:val="0"/>
        <w:pBdr>
          <w:top w:val="none" w:color="auto" w:sz="0" w:space="0"/>
        </w:pBdr>
        <w:shd w:val="clear"/>
        <w:spacing w:before="0" w:beforeLines="0" w:beforeAutospacing="0" w:after="0" w:afterLines="0" w:afterAutospacing="0" w:line="360" w:lineRule="auto"/>
        <w:ind w:left="0" w:right="0" w:firstLine="480" w:firstLineChars="200"/>
        <w:rPr>
          <w:rFonts w:hint="default" w:ascii="Times New Roman" w:hAnsi="Times New Roman" w:eastAsia="宋体" w:cs="Times New Roman"/>
          <w:i w:val="0"/>
          <w:iCs w:val="0"/>
          <w:caps w:val="0"/>
          <w:color w:val="auto"/>
          <w:spacing w:val="0"/>
          <w:sz w:val="24"/>
          <w:szCs w:val="24"/>
          <w:shd w:val="clear" w:color="auto" w:fill="auto"/>
        </w:rPr>
      </w:pPr>
      <w:r>
        <w:rPr>
          <w:rFonts w:hint="default" w:ascii="Times New Roman" w:hAnsi="Times New Roman" w:eastAsia="宋体" w:cs="Times New Roman"/>
          <w:i w:val="0"/>
          <w:iCs w:val="0"/>
          <w:caps w:val="0"/>
          <w:color w:val="auto"/>
          <w:spacing w:val="0"/>
          <w:sz w:val="24"/>
          <w:szCs w:val="24"/>
          <w:shd w:val="clear" w:color="auto" w:fill="auto"/>
        </w:rPr>
        <w:t>（三）主动性原则。上市公司应当主动开展投资者关系管理活动，听取投资者意见建议，及时回应投资者诉求。</w:t>
      </w:r>
    </w:p>
    <w:p w14:paraId="5E236928">
      <w:pPr>
        <w:keepNext w:val="0"/>
        <w:keepLines w:val="0"/>
        <w:widowControl w:val="0"/>
        <w:suppressLineNumbers w:val="0"/>
        <w:pBdr>
          <w:top w:val="none" w:color="auto" w:sz="0" w:space="0"/>
        </w:pBdr>
        <w:shd w:val="clear"/>
        <w:spacing w:before="0" w:beforeLines="0" w:beforeAutospacing="0" w:after="0" w:afterLines="0" w:afterAutospacing="0" w:line="360" w:lineRule="auto"/>
        <w:ind w:left="0" w:right="0" w:firstLine="480" w:firstLineChars="200"/>
        <w:rPr>
          <w:rFonts w:hint="default" w:ascii="Times New Roman" w:hAnsi="Times New Roman" w:eastAsia="宋体" w:cs="Times New Roman"/>
          <w:i w:val="0"/>
          <w:iCs w:val="0"/>
          <w:caps w:val="0"/>
          <w:color w:val="auto"/>
          <w:spacing w:val="0"/>
          <w:sz w:val="24"/>
          <w:szCs w:val="24"/>
          <w:shd w:val="clear" w:color="auto" w:fill="auto"/>
        </w:rPr>
      </w:pPr>
      <w:r>
        <w:rPr>
          <w:rFonts w:hint="default" w:ascii="Times New Roman" w:hAnsi="Times New Roman" w:eastAsia="宋体" w:cs="Times New Roman"/>
          <w:i w:val="0"/>
          <w:iCs w:val="0"/>
          <w:caps w:val="0"/>
          <w:color w:val="auto"/>
          <w:spacing w:val="0"/>
          <w:sz w:val="24"/>
          <w:szCs w:val="24"/>
          <w:shd w:val="clear" w:color="auto" w:fill="auto"/>
        </w:rPr>
        <w:t>（四）诚实守信原则。上市公司在投资者关系管理活动中应当注重诚信、坚守底线、规范运作、担当责任，营造健康良好的市场生态。</w:t>
      </w:r>
    </w:p>
    <w:p w14:paraId="74B03118">
      <w:pPr>
        <w:numPr>
          <w:ilvl w:val="0"/>
          <w:numId w:val="1"/>
        </w:numPr>
        <w:spacing w:before="0" w:beforeLines="0" w:after="0" w:afterLines="0" w:line="360" w:lineRule="auto"/>
        <w:ind w:left="0" w:firstLine="512" w:firstLineChars="200"/>
        <w:jc w:val="both"/>
        <w:rPr>
          <w:rFonts w:hint="default" w:ascii="Times New Roman" w:hAnsi="Times New Roman" w:eastAsia="宋体" w:cs="Times New Roman"/>
          <w:bCs/>
          <w:color w:val="auto"/>
          <w:spacing w:val="8"/>
          <w:sz w:val="24"/>
          <w:szCs w:val="24"/>
        </w:rPr>
      </w:pPr>
      <w:r>
        <w:rPr>
          <w:rFonts w:hint="default" w:ascii="Times New Roman" w:hAnsi="Times New Roman" w:eastAsia="宋体" w:cs="Times New Roman"/>
          <w:bCs/>
          <w:color w:val="auto"/>
          <w:spacing w:val="8"/>
          <w:sz w:val="24"/>
          <w:szCs w:val="24"/>
        </w:rPr>
        <w:t>投资者关系</w:t>
      </w:r>
      <w:r>
        <w:rPr>
          <w:rFonts w:hint="default" w:ascii="Times New Roman" w:hAnsi="Times New Roman" w:eastAsia="宋体" w:cs="Times New Roman"/>
          <w:bCs/>
          <w:color w:val="auto"/>
          <w:spacing w:val="8"/>
          <w:sz w:val="24"/>
          <w:szCs w:val="24"/>
          <w:lang w:val="en-US" w:eastAsia="zh-CN"/>
        </w:rPr>
        <w:t>管理</w:t>
      </w:r>
      <w:r>
        <w:rPr>
          <w:rFonts w:hint="default" w:ascii="Times New Roman" w:hAnsi="Times New Roman" w:eastAsia="宋体" w:cs="Times New Roman"/>
          <w:bCs/>
          <w:color w:val="auto"/>
          <w:spacing w:val="8"/>
          <w:sz w:val="24"/>
          <w:szCs w:val="24"/>
        </w:rPr>
        <w:t>的目的是：</w:t>
      </w:r>
    </w:p>
    <w:p w14:paraId="68765D7D">
      <w:pPr>
        <w:numPr>
          <w:ilvl w:val="0"/>
          <w:numId w:val="2"/>
        </w:numPr>
        <w:spacing w:before="0" w:beforeLines="0" w:after="0" w:afterLines="0" w:line="360" w:lineRule="auto"/>
        <w:ind w:firstLine="512" w:firstLineChars="200"/>
        <w:jc w:val="both"/>
        <w:rPr>
          <w:rFonts w:hint="default" w:ascii="Times New Roman" w:hAnsi="Times New Roman" w:eastAsia="宋体" w:cs="Times New Roman"/>
          <w:bCs/>
          <w:color w:val="auto"/>
          <w:spacing w:val="8"/>
          <w:sz w:val="24"/>
          <w:szCs w:val="24"/>
        </w:rPr>
      </w:pPr>
      <w:r>
        <w:rPr>
          <w:rFonts w:hint="default" w:ascii="Times New Roman" w:hAnsi="Times New Roman" w:eastAsia="宋体" w:cs="Times New Roman"/>
          <w:bCs/>
          <w:color w:val="auto"/>
          <w:spacing w:val="8"/>
          <w:sz w:val="24"/>
          <w:szCs w:val="24"/>
        </w:rPr>
        <w:t>促进公司与投资者之间的良性关系，增进投资者对公司的进一步了解和熟悉；</w:t>
      </w:r>
    </w:p>
    <w:p w14:paraId="7BECDCA3">
      <w:pPr>
        <w:numPr>
          <w:ilvl w:val="0"/>
          <w:numId w:val="2"/>
        </w:numPr>
        <w:spacing w:before="0" w:beforeLines="0" w:after="0" w:afterLines="0" w:line="360" w:lineRule="auto"/>
        <w:ind w:left="0" w:firstLine="512" w:firstLineChars="200"/>
        <w:jc w:val="both"/>
        <w:rPr>
          <w:rFonts w:hint="default" w:ascii="Times New Roman" w:hAnsi="Times New Roman" w:eastAsia="宋体" w:cs="Times New Roman"/>
          <w:bCs/>
          <w:color w:val="auto"/>
          <w:spacing w:val="8"/>
          <w:sz w:val="24"/>
          <w:szCs w:val="24"/>
        </w:rPr>
      </w:pPr>
      <w:r>
        <w:rPr>
          <w:rFonts w:hint="default" w:ascii="Times New Roman" w:hAnsi="Times New Roman" w:eastAsia="宋体" w:cs="Times New Roman"/>
          <w:bCs/>
          <w:color w:val="auto"/>
          <w:spacing w:val="8"/>
          <w:sz w:val="24"/>
          <w:szCs w:val="24"/>
        </w:rPr>
        <w:t>建立稳定和优质的投资者基础，获得长期的市场支持；</w:t>
      </w:r>
    </w:p>
    <w:p w14:paraId="7D1A69DB">
      <w:pPr>
        <w:numPr>
          <w:ilvl w:val="0"/>
          <w:numId w:val="2"/>
        </w:numPr>
        <w:spacing w:before="0" w:beforeLines="0" w:after="0" w:afterLines="0" w:line="360" w:lineRule="auto"/>
        <w:ind w:left="0" w:firstLine="512" w:firstLineChars="200"/>
        <w:jc w:val="both"/>
        <w:rPr>
          <w:rFonts w:hint="default" w:ascii="Times New Roman" w:hAnsi="Times New Roman" w:eastAsia="宋体" w:cs="Times New Roman"/>
          <w:bCs/>
          <w:color w:val="auto"/>
          <w:spacing w:val="8"/>
          <w:sz w:val="24"/>
          <w:szCs w:val="24"/>
        </w:rPr>
      </w:pPr>
      <w:r>
        <w:rPr>
          <w:rFonts w:hint="default" w:ascii="Times New Roman" w:hAnsi="Times New Roman" w:eastAsia="宋体" w:cs="Times New Roman"/>
          <w:bCs/>
          <w:color w:val="auto"/>
          <w:spacing w:val="8"/>
          <w:sz w:val="24"/>
          <w:szCs w:val="24"/>
        </w:rPr>
        <w:t>形成服务投资者、尊重投资者的企业文化；</w:t>
      </w:r>
    </w:p>
    <w:p w14:paraId="33BEC8A4">
      <w:pPr>
        <w:numPr>
          <w:ilvl w:val="0"/>
          <w:numId w:val="2"/>
        </w:numPr>
        <w:spacing w:before="0" w:beforeLines="0" w:after="0" w:afterLines="0" w:line="360" w:lineRule="auto"/>
        <w:ind w:left="0" w:firstLine="512" w:firstLineChars="200"/>
        <w:jc w:val="both"/>
        <w:rPr>
          <w:rFonts w:hint="default" w:ascii="Times New Roman" w:hAnsi="Times New Roman" w:eastAsia="宋体" w:cs="Times New Roman"/>
          <w:bCs/>
          <w:color w:val="auto"/>
          <w:spacing w:val="8"/>
          <w:sz w:val="24"/>
          <w:szCs w:val="24"/>
        </w:rPr>
      </w:pPr>
      <w:r>
        <w:rPr>
          <w:rFonts w:hint="default" w:ascii="Times New Roman" w:hAnsi="Times New Roman" w:eastAsia="宋体" w:cs="Times New Roman"/>
          <w:bCs/>
          <w:color w:val="auto"/>
          <w:spacing w:val="8"/>
          <w:sz w:val="24"/>
          <w:szCs w:val="24"/>
        </w:rPr>
        <w:t>促进公司整体利益最大化和股东财富增长并举的投资理念；</w:t>
      </w:r>
    </w:p>
    <w:p w14:paraId="6577E56A">
      <w:pPr>
        <w:numPr>
          <w:ilvl w:val="0"/>
          <w:numId w:val="2"/>
        </w:numPr>
        <w:spacing w:before="0" w:beforeLines="0" w:after="0" w:afterLines="0" w:line="360" w:lineRule="auto"/>
        <w:ind w:left="0" w:firstLine="512" w:firstLineChars="200"/>
        <w:jc w:val="both"/>
        <w:rPr>
          <w:rFonts w:hint="default" w:ascii="Times New Roman" w:hAnsi="Times New Roman" w:eastAsia="宋体" w:cs="Times New Roman"/>
          <w:bCs/>
          <w:color w:val="auto"/>
          <w:spacing w:val="8"/>
          <w:sz w:val="24"/>
          <w:szCs w:val="24"/>
        </w:rPr>
      </w:pPr>
      <w:r>
        <w:rPr>
          <w:rFonts w:hint="default" w:ascii="Times New Roman" w:hAnsi="Times New Roman" w:eastAsia="宋体" w:cs="Times New Roman"/>
          <w:bCs/>
          <w:color w:val="auto"/>
          <w:spacing w:val="8"/>
          <w:sz w:val="24"/>
          <w:szCs w:val="24"/>
        </w:rPr>
        <w:t>增加公司信息披露透明度，改善公司治理。</w:t>
      </w:r>
    </w:p>
    <w:p w14:paraId="1ADAC38C">
      <w:pPr>
        <w:spacing w:before="0" w:beforeLines="0" w:after="0" w:afterLines="0" w:line="360" w:lineRule="auto"/>
        <w:ind w:left="496"/>
        <w:jc w:val="both"/>
        <w:rPr>
          <w:rFonts w:hint="default" w:ascii="Times New Roman" w:hAnsi="Times New Roman" w:eastAsia="宋体" w:cs="Times New Roman"/>
          <w:bCs/>
          <w:color w:val="auto"/>
          <w:spacing w:val="8"/>
          <w:sz w:val="24"/>
          <w:szCs w:val="24"/>
        </w:rPr>
      </w:pPr>
    </w:p>
    <w:p w14:paraId="3622654F">
      <w:pPr>
        <w:autoSpaceDE/>
        <w:autoSpaceDN/>
        <w:spacing w:before="0" w:beforeLines="0" w:after="0" w:afterLines="0" w:line="360" w:lineRule="auto"/>
        <w:ind w:left="0"/>
        <w:jc w:val="center"/>
        <w:outlineLvl w:val="1"/>
        <w:rPr>
          <w:rFonts w:hint="default" w:ascii="Times New Roman" w:hAnsi="Times New Roman" w:eastAsia="宋体" w:cs="Times New Roman"/>
          <w:b/>
          <w:bCs/>
          <w:color w:val="auto"/>
          <w:spacing w:val="0"/>
          <w:kern w:val="2"/>
          <w:sz w:val="24"/>
          <w:szCs w:val="24"/>
          <w:lang w:val="en-US" w:bidi="ar-SA"/>
        </w:rPr>
      </w:pPr>
      <w:r>
        <w:rPr>
          <w:rFonts w:hint="default" w:ascii="Times New Roman" w:hAnsi="Times New Roman" w:eastAsia="宋体" w:cs="Times New Roman"/>
          <w:b/>
          <w:bCs/>
          <w:color w:val="auto"/>
          <w:spacing w:val="0"/>
          <w:kern w:val="2"/>
          <w:sz w:val="24"/>
          <w:szCs w:val="24"/>
          <w:lang w:val="en-US" w:bidi="ar-SA"/>
        </w:rPr>
        <w:t>第三章 投资者关系管理对象、内容</w:t>
      </w:r>
    </w:p>
    <w:p w14:paraId="775C717B">
      <w:pPr>
        <w:numPr>
          <w:ilvl w:val="0"/>
          <w:numId w:val="1"/>
        </w:numPr>
        <w:spacing w:before="0" w:beforeLines="0" w:after="0" w:afterLines="0" w:line="360" w:lineRule="auto"/>
        <w:ind w:left="0" w:firstLine="512" w:firstLineChars="200"/>
        <w:jc w:val="both"/>
        <w:rPr>
          <w:rFonts w:hint="default" w:ascii="Times New Roman" w:hAnsi="Times New Roman" w:eastAsia="宋体" w:cs="Times New Roman"/>
          <w:bCs/>
          <w:color w:val="auto"/>
          <w:spacing w:val="8"/>
          <w:sz w:val="24"/>
          <w:szCs w:val="24"/>
        </w:rPr>
      </w:pPr>
      <w:r>
        <w:rPr>
          <w:rFonts w:hint="default" w:ascii="Times New Roman" w:hAnsi="Times New Roman" w:eastAsia="宋体" w:cs="Times New Roman"/>
          <w:bCs/>
          <w:color w:val="auto"/>
          <w:spacing w:val="8"/>
          <w:sz w:val="24"/>
          <w:szCs w:val="24"/>
        </w:rPr>
        <w:t>投资者关系管理的工作对象：</w:t>
      </w:r>
    </w:p>
    <w:p w14:paraId="676893C0">
      <w:pPr>
        <w:numPr>
          <w:ilvl w:val="0"/>
          <w:numId w:val="3"/>
        </w:numPr>
        <w:spacing w:before="0" w:beforeLines="0" w:after="0" w:afterLines="0" w:line="360" w:lineRule="auto"/>
        <w:ind w:left="0" w:firstLine="512" w:firstLineChars="200"/>
        <w:jc w:val="both"/>
        <w:rPr>
          <w:rFonts w:hint="default" w:ascii="Times New Roman" w:hAnsi="Times New Roman" w:eastAsia="宋体" w:cs="Times New Roman"/>
          <w:bCs/>
          <w:color w:val="auto"/>
          <w:spacing w:val="8"/>
          <w:sz w:val="24"/>
          <w:szCs w:val="24"/>
        </w:rPr>
      </w:pPr>
      <w:r>
        <w:rPr>
          <w:rFonts w:hint="default" w:ascii="Times New Roman" w:hAnsi="Times New Roman" w:eastAsia="宋体" w:cs="Times New Roman"/>
          <w:bCs/>
          <w:color w:val="auto"/>
          <w:spacing w:val="8"/>
          <w:sz w:val="24"/>
          <w:szCs w:val="24"/>
        </w:rPr>
        <w:t>投资者（包括公司在册投资者和潜在投资者）；</w:t>
      </w:r>
    </w:p>
    <w:p w14:paraId="325CC403">
      <w:pPr>
        <w:numPr>
          <w:ilvl w:val="0"/>
          <w:numId w:val="3"/>
        </w:numPr>
        <w:spacing w:before="0" w:beforeLines="0" w:after="0" w:afterLines="0" w:line="360" w:lineRule="auto"/>
        <w:ind w:left="0" w:firstLine="512" w:firstLineChars="200"/>
        <w:jc w:val="both"/>
        <w:rPr>
          <w:rFonts w:hint="default" w:ascii="Times New Roman" w:hAnsi="Times New Roman" w:eastAsia="宋体" w:cs="Times New Roman"/>
          <w:bCs/>
          <w:color w:val="auto"/>
          <w:spacing w:val="8"/>
          <w:sz w:val="24"/>
          <w:szCs w:val="24"/>
        </w:rPr>
      </w:pPr>
      <w:r>
        <w:rPr>
          <w:rFonts w:hint="default" w:ascii="Times New Roman" w:hAnsi="Times New Roman" w:eastAsia="宋体" w:cs="Times New Roman"/>
          <w:bCs/>
          <w:color w:val="auto"/>
          <w:spacing w:val="8"/>
          <w:sz w:val="24"/>
          <w:szCs w:val="24"/>
        </w:rPr>
        <w:t>证券分析师及行业分析师；</w:t>
      </w:r>
    </w:p>
    <w:p w14:paraId="00D7AF9D">
      <w:pPr>
        <w:numPr>
          <w:ilvl w:val="0"/>
          <w:numId w:val="3"/>
        </w:numPr>
        <w:spacing w:before="0" w:beforeLines="0" w:after="0" w:afterLines="0" w:line="360" w:lineRule="auto"/>
        <w:ind w:left="0" w:firstLine="512" w:firstLineChars="200"/>
        <w:jc w:val="both"/>
        <w:rPr>
          <w:rFonts w:hint="default" w:ascii="Times New Roman" w:hAnsi="Times New Roman" w:eastAsia="宋体" w:cs="Times New Roman"/>
          <w:bCs/>
          <w:color w:val="auto"/>
          <w:spacing w:val="8"/>
          <w:sz w:val="24"/>
          <w:szCs w:val="24"/>
        </w:rPr>
      </w:pPr>
      <w:r>
        <w:rPr>
          <w:rFonts w:hint="default" w:ascii="Times New Roman" w:hAnsi="Times New Roman" w:eastAsia="宋体" w:cs="Times New Roman"/>
          <w:bCs/>
          <w:color w:val="auto"/>
          <w:spacing w:val="8"/>
          <w:sz w:val="24"/>
          <w:szCs w:val="24"/>
        </w:rPr>
        <w:t>财经媒体及行业媒体等传播媒介；</w:t>
      </w:r>
    </w:p>
    <w:p w14:paraId="5ADCFB10">
      <w:pPr>
        <w:numPr>
          <w:ilvl w:val="0"/>
          <w:numId w:val="3"/>
        </w:numPr>
        <w:spacing w:before="0" w:beforeLines="0" w:after="0" w:afterLines="0" w:line="360" w:lineRule="auto"/>
        <w:ind w:left="0" w:firstLine="512" w:firstLineChars="200"/>
        <w:jc w:val="both"/>
        <w:rPr>
          <w:rFonts w:hint="default" w:ascii="Times New Roman" w:hAnsi="Times New Roman" w:eastAsia="宋体" w:cs="Times New Roman"/>
          <w:bCs/>
          <w:color w:val="auto"/>
          <w:spacing w:val="8"/>
          <w:sz w:val="24"/>
          <w:szCs w:val="24"/>
        </w:rPr>
      </w:pPr>
      <w:r>
        <w:rPr>
          <w:rFonts w:hint="default" w:ascii="Times New Roman" w:hAnsi="Times New Roman" w:eastAsia="宋体" w:cs="Times New Roman"/>
          <w:bCs/>
          <w:color w:val="auto"/>
          <w:spacing w:val="8"/>
          <w:sz w:val="24"/>
          <w:szCs w:val="24"/>
        </w:rPr>
        <w:t>其他相关个人与机构。</w:t>
      </w:r>
    </w:p>
    <w:p w14:paraId="3C9076EA">
      <w:pPr>
        <w:numPr>
          <w:ilvl w:val="0"/>
          <w:numId w:val="1"/>
        </w:numPr>
        <w:spacing w:before="0" w:beforeLines="0" w:after="0" w:afterLines="0" w:line="360" w:lineRule="auto"/>
        <w:ind w:left="0" w:firstLine="512" w:firstLineChars="200"/>
        <w:jc w:val="both"/>
        <w:rPr>
          <w:rFonts w:hint="default" w:ascii="Times New Roman" w:hAnsi="Times New Roman" w:eastAsia="宋体" w:cs="Times New Roman"/>
          <w:bCs/>
          <w:color w:val="auto"/>
          <w:spacing w:val="8"/>
          <w:sz w:val="24"/>
          <w:szCs w:val="24"/>
        </w:rPr>
      </w:pPr>
      <w:r>
        <w:rPr>
          <w:rFonts w:hint="default" w:ascii="Times New Roman" w:hAnsi="Times New Roman" w:eastAsia="宋体" w:cs="Times New Roman"/>
          <w:bCs/>
          <w:color w:val="auto"/>
          <w:spacing w:val="8"/>
          <w:sz w:val="24"/>
          <w:szCs w:val="24"/>
        </w:rPr>
        <w:t>投资者关系工作中公司与投资者沟通的主要内容包括：</w:t>
      </w:r>
    </w:p>
    <w:p w14:paraId="2F86BECB">
      <w:pPr>
        <w:keepNext w:val="0"/>
        <w:keepLines w:val="0"/>
        <w:widowControl w:val="0"/>
        <w:suppressLineNumbers w:val="0"/>
        <w:pBdr>
          <w:top w:val="none" w:color="auto" w:sz="0" w:space="0"/>
        </w:pBdr>
        <w:shd w:val="clear"/>
        <w:spacing w:before="0" w:beforeLines="0" w:beforeAutospacing="0" w:after="0" w:afterLines="0" w:afterAutospacing="0" w:line="360" w:lineRule="auto"/>
        <w:ind w:left="0" w:right="0"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（一）公司的发展战略；</w:t>
      </w:r>
    </w:p>
    <w:p w14:paraId="610BFDA9">
      <w:pPr>
        <w:keepNext w:val="0"/>
        <w:keepLines w:val="0"/>
        <w:widowControl w:val="0"/>
        <w:suppressLineNumbers w:val="0"/>
        <w:pBdr>
          <w:top w:val="none" w:color="auto" w:sz="0" w:space="0"/>
        </w:pBdr>
        <w:shd w:val="clear"/>
        <w:spacing w:before="0" w:beforeLines="0" w:beforeAutospacing="0" w:after="0" w:afterLines="0" w:afterAutospacing="0" w:line="360" w:lineRule="auto"/>
        <w:ind w:left="0" w:right="0"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（二）法定信息披露内容；</w:t>
      </w:r>
    </w:p>
    <w:p w14:paraId="509408FB">
      <w:pPr>
        <w:keepNext w:val="0"/>
        <w:keepLines w:val="0"/>
        <w:widowControl w:val="0"/>
        <w:suppressLineNumbers w:val="0"/>
        <w:pBdr>
          <w:top w:val="none" w:color="auto" w:sz="0" w:space="0"/>
        </w:pBdr>
        <w:shd w:val="clear"/>
        <w:spacing w:before="0" w:beforeLines="0" w:beforeAutospacing="0" w:after="0" w:afterLines="0" w:afterAutospacing="0" w:line="360" w:lineRule="auto"/>
        <w:ind w:left="0" w:right="0"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（三）公司的经营管理信息；</w:t>
      </w:r>
    </w:p>
    <w:p w14:paraId="3FAC02FE">
      <w:pPr>
        <w:keepNext w:val="0"/>
        <w:keepLines w:val="0"/>
        <w:widowControl w:val="0"/>
        <w:suppressLineNumbers w:val="0"/>
        <w:pBdr>
          <w:top w:val="none" w:color="auto" w:sz="0" w:space="0"/>
        </w:pBdr>
        <w:shd w:val="clear"/>
        <w:spacing w:before="0" w:beforeLines="0" w:beforeAutospacing="0" w:after="0" w:afterLines="0" w:afterAutospacing="0" w:line="360" w:lineRule="auto"/>
        <w:ind w:left="0" w:right="0"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（四）公司的环境、社会和治理信息；</w:t>
      </w:r>
    </w:p>
    <w:p w14:paraId="4CC6989F">
      <w:pPr>
        <w:keepNext w:val="0"/>
        <w:keepLines w:val="0"/>
        <w:widowControl w:val="0"/>
        <w:suppressLineNumbers w:val="0"/>
        <w:pBdr>
          <w:top w:val="none" w:color="auto" w:sz="0" w:space="0"/>
        </w:pBdr>
        <w:shd w:val="clear"/>
        <w:spacing w:before="0" w:beforeLines="0" w:beforeAutospacing="0" w:after="0" w:afterLines="0" w:afterAutospacing="0" w:line="360" w:lineRule="auto"/>
        <w:ind w:left="0" w:right="0"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（五）公司的文化建设；</w:t>
      </w:r>
    </w:p>
    <w:p w14:paraId="391EC48C">
      <w:pPr>
        <w:keepNext w:val="0"/>
        <w:keepLines w:val="0"/>
        <w:widowControl w:val="0"/>
        <w:suppressLineNumbers w:val="0"/>
        <w:pBdr>
          <w:top w:val="none" w:color="auto" w:sz="0" w:space="0"/>
        </w:pBdr>
        <w:shd w:val="clear"/>
        <w:spacing w:before="0" w:beforeLines="0" w:beforeAutospacing="0" w:after="0" w:afterLines="0" w:afterAutospacing="0" w:line="360" w:lineRule="auto"/>
        <w:ind w:left="0" w:right="0"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（六）股东权利行使的方式、途径和程序等；</w:t>
      </w:r>
    </w:p>
    <w:p w14:paraId="36BC22CA">
      <w:pPr>
        <w:keepNext w:val="0"/>
        <w:keepLines w:val="0"/>
        <w:widowControl w:val="0"/>
        <w:suppressLineNumbers w:val="0"/>
        <w:pBdr>
          <w:top w:val="none" w:color="auto" w:sz="0" w:space="0"/>
        </w:pBdr>
        <w:shd w:val="clear"/>
        <w:spacing w:before="0" w:beforeLines="0" w:beforeAutospacing="0" w:after="0" w:afterLines="0" w:afterAutospacing="0" w:line="360" w:lineRule="auto"/>
        <w:ind w:left="0" w:right="0"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（七）投资者诉求处理信息；</w:t>
      </w:r>
    </w:p>
    <w:p w14:paraId="2F0C3540">
      <w:pPr>
        <w:keepNext w:val="0"/>
        <w:keepLines w:val="0"/>
        <w:widowControl w:val="0"/>
        <w:suppressLineNumbers w:val="0"/>
        <w:pBdr>
          <w:top w:val="none" w:color="auto" w:sz="0" w:space="0"/>
        </w:pBdr>
        <w:shd w:val="clear"/>
        <w:spacing w:before="0" w:beforeLines="0" w:beforeAutospacing="0" w:after="0" w:afterLines="0" w:afterAutospacing="0" w:line="360" w:lineRule="auto"/>
        <w:ind w:left="0" w:right="0"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（八）公司正在或者可能面临的风险和挑战；</w:t>
      </w:r>
    </w:p>
    <w:p w14:paraId="2A7D90A3">
      <w:pPr>
        <w:keepNext w:val="0"/>
        <w:keepLines w:val="0"/>
        <w:widowControl w:val="0"/>
        <w:suppressLineNumbers w:val="0"/>
        <w:pBdr>
          <w:top w:val="none" w:color="auto" w:sz="0" w:space="0"/>
        </w:pBdr>
        <w:shd w:val="clear"/>
        <w:spacing w:before="0" w:beforeLines="0" w:beforeAutospacing="0" w:after="0" w:afterLines="0" w:afterAutospacing="0" w:line="360" w:lineRule="auto"/>
        <w:ind w:left="0" w:right="0"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（九）公司的其他相关信息。</w:t>
      </w:r>
    </w:p>
    <w:p w14:paraId="2D851970">
      <w:pPr>
        <w:autoSpaceDE/>
        <w:autoSpaceDN/>
        <w:spacing w:before="0" w:beforeLines="0" w:after="0" w:afterLines="0" w:line="360" w:lineRule="auto"/>
        <w:ind w:left="0"/>
        <w:jc w:val="center"/>
        <w:outlineLvl w:val="1"/>
        <w:rPr>
          <w:rFonts w:hint="default" w:ascii="Times New Roman" w:hAnsi="Times New Roman" w:eastAsia="宋体" w:cs="Times New Roman"/>
          <w:b/>
          <w:bCs/>
          <w:color w:val="auto"/>
          <w:spacing w:val="0"/>
          <w:kern w:val="2"/>
          <w:sz w:val="24"/>
          <w:szCs w:val="24"/>
          <w:lang w:val="en-US" w:bidi="ar-SA"/>
        </w:rPr>
      </w:pPr>
      <w:r>
        <w:rPr>
          <w:rFonts w:hint="default" w:ascii="Times New Roman" w:hAnsi="Times New Roman" w:eastAsia="宋体" w:cs="Times New Roman"/>
          <w:b/>
          <w:bCs/>
          <w:color w:val="auto"/>
          <w:spacing w:val="0"/>
          <w:kern w:val="2"/>
          <w:sz w:val="24"/>
          <w:szCs w:val="24"/>
          <w:lang w:val="en-US" w:bidi="ar-SA"/>
        </w:rPr>
        <w:t>第四章 投资者关系管理的组织及其职责</w:t>
      </w:r>
    </w:p>
    <w:p w14:paraId="0C4B2898">
      <w:pPr>
        <w:numPr>
          <w:ilvl w:val="0"/>
          <w:numId w:val="1"/>
        </w:numPr>
        <w:spacing w:before="0" w:beforeLines="0" w:after="0" w:afterLines="0" w:line="360" w:lineRule="auto"/>
        <w:ind w:left="0" w:firstLine="512" w:firstLineChars="200"/>
        <w:jc w:val="both"/>
        <w:rPr>
          <w:rFonts w:hint="default" w:ascii="Times New Roman" w:hAnsi="Times New Roman" w:eastAsia="宋体" w:cs="Times New Roman"/>
          <w:bCs/>
          <w:color w:val="auto"/>
          <w:spacing w:val="8"/>
          <w:sz w:val="24"/>
          <w:szCs w:val="24"/>
        </w:rPr>
      </w:pPr>
      <w:r>
        <w:rPr>
          <w:rFonts w:hint="default" w:ascii="Times New Roman" w:hAnsi="Times New Roman" w:eastAsia="宋体" w:cs="Times New Roman"/>
          <w:bCs/>
          <w:color w:val="auto"/>
          <w:spacing w:val="8"/>
          <w:sz w:val="24"/>
          <w:szCs w:val="24"/>
        </w:rPr>
        <w:t>公司董事会秘书是投资者关系管理工作的负责人。除非得到明确授权并经过培训，公司其他董事、高级管理人员和员工应当避免在投资者关系活动中代表公司发言，也不得擅自通过网站等形式发布或泄露公司未公开重大信息。</w:t>
      </w:r>
    </w:p>
    <w:p w14:paraId="350CEA39">
      <w:pPr>
        <w:numPr>
          <w:ilvl w:val="-1"/>
          <w:numId w:val="0"/>
        </w:numPr>
        <w:spacing w:before="0" w:beforeLines="0" w:after="0" w:afterLines="0" w:line="360" w:lineRule="auto"/>
        <w:ind w:left="0" w:leftChars="0" w:firstLine="512" w:firstLineChars="200"/>
        <w:jc w:val="both"/>
        <w:rPr>
          <w:rFonts w:hint="default" w:ascii="Times New Roman" w:hAnsi="Times New Roman" w:eastAsia="宋体" w:cs="Times New Roman"/>
          <w:bCs/>
          <w:color w:val="auto"/>
          <w:spacing w:val="8"/>
          <w:sz w:val="24"/>
          <w:szCs w:val="24"/>
        </w:rPr>
      </w:pPr>
      <w:r>
        <w:rPr>
          <w:rFonts w:hint="default" w:ascii="Times New Roman" w:hAnsi="Times New Roman" w:eastAsia="宋体" w:cs="Times New Roman"/>
          <w:bCs/>
          <w:color w:val="auto"/>
          <w:spacing w:val="8"/>
          <w:sz w:val="24"/>
          <w:szCs w:val="24"/>
        </w:rPr>
        <w:t>公司控股股东、实际控制人以及董事和高级管理人员应当为董事会秘书履行投资者关系管理工作职责提供便利条件。</w:t>
      </w:r>
    </w:p>
    <w:p w14:paraId="0F684273">
      <w:pPr>
        <w:keepNext w:val="0"/>
        <w:keepLines w:val="0"/>
        <w:widowControl w:val="0"/>
        <w:numPr>
          <w:ilvl w:val="0"/>
          <w:numId w:val="1"/>
        </w:numPr>
        <w:suppressLineNumbers w:val="0"/>
        <w:pBdr>
          <w:top w:val="none" w:color="auto" w:sz="0" w:space="0"/>
        </w:pBdr>
        <w:shd w:val="clear"/>
        <w:spacing w:before="0" w:beforeLines="0" w:beforeAutospacing="0" w:after="0" w:afterLines="0" w:afterAutospacing="0" w:line="360" w:lineRule="auto"/>
        <w:ind w:left="0" w:right="0" w:firstLine="480" w:firstLineChars="200"/>
        <w:rPr>
          <w:rFonts w:hint="default" w:ascii="Times New Roman" w:hAnsi="Times New Roman" w:eastAsia="宋体" w:cs="Times New Roman"/>
          <w:color w:val="auto"/>
          <w:sz w:val="24"/>
          <w:szCs w:val="24"/>
          <w:lang w:val="en-US" w:bidi="ar"/>
        </w:rPr>
      </w:pPr>
      <w:r>
        <w:rPr>
          <w:rFonts w:hint="default" w:ascii="Times New Roman" w:hAnsi="Times New Roman" w:eastAsia="宋体" w:cs="Times New Roman"/>
          <w:color w:val="auto"/>
          <w:kern w:val="0"/>
          <w:sz w:val="24"/>
          <w:szCs w:val="24"/>
          <w:lang w:val="en-US" w:eastAsia="zh-CN" w:bidi="ar"/>
        </w:rPr>
        <w:t>投资者向公司提出的诉求，公司应当承担处理的首要责任，依法处理、及时答复投资者。</w:t>
      </w:r>
    </w:p>
    <w:p w14:paraId="1A2C1065">
      <w:pPr>
        <w:keepNext w:val="0"/>
        <w:keepLines w:val="0"/>
        <w:widowControl w:val="0"/>
        <w:numPr>
          <w:ilvl w:val="0"/>
          <w:numId w:val="1"/>
        </w:numPr>
        <w:suppressLineNumbers w:val="0"/>
        <w:pBdr>
          <w:top w:val="none" w:color="auto" w:sz="0" w:space="0"/>
        </w:pBdr>
        <w:shd w:val="clear"/>
        <w:spacing w:before="0" w:beforeLines="0" w:beforeAutospacing="0" w:after="0" w:afterLines="0" w:afterAutospacing="0" w:line="360" w:lineRule="auto"/>
        <w:ind w:left="0" w:right="0"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投资者依法行使股东权利的行为，以及投资者保护机构持股行权、公开征集股东权利、纠纷调解、代表人诉讼等维护投资者合法权益的各项活动，公司应当积极支持配合。</w:t>
      </w:r>
    </w:p>
    <w:p w14:paraId="1E0BA493">
      <w:pPr>
        <w:pBdr>
          <w:top w:val="none" w:color="auto" w:sz="0" w:space="0"/>
        </w:pBdr>
        <w:shd w:val="clear"/>
        <w:spacing w:before="0" w:beforeLines="0" w:after="0" w:afterLines="0" w:line="360" w:lineRule="auto"/>
        <w:ind w:firstLine="480" w:firstLineChars="200"/>
        <w:jc w:val="left"/>
        <w:rPr>
          <w:rFonts w:hint="default" w:ascii="Times New Roman" w:hAnsi="Times New Roman" w:eastAsia="宋体" w:cs="Times New Roman"/>
          <w:bCs/>
          <w:color w:val="auto"/>
          <w:spacing w:val="8"/>
          <w:sz w:val="24"/>
          <w:szCs w:val="24"/>
        </w:rPr>
      </w:pPr>
      <w:r>
        <w:rPr>
          <w:rFonts w:hint="default" w:ascii="Times New Roman" w:hAnsi="Times New Roman" w:eastAsia="宋体" w:cs="Times New Roman"/>
          <w:color w:val="auto"/>
          <w:sz w:val="24"/>
          <w:szCs w:val="24"/>
        </w:rPr>
        <w:t>投资者与公司发生纠纷的，</w:t>
      </w:r>
      <w:r>
        <w:rPr>
          <w:rFonts w:hint="default" w:ascii="Times New Roman" w:hAnsi="Times New Roman" w:eastAsia="宋体" w:cs="Times New Roman"/>
          <w:color w:val="auto"/>
          <w:sz w:val="24"/>
          <w:szCs w:val="24"/>
          <w:lang w:val="en-US" w:eastAsia="zh-CN"/>
        </w:rPr>
        <w:t>可</w:t>
      </w:r>
      <w:r>
        <w:rPr>
          <w:rFonts w:hint="default" w:ascii="Times New Roman" w:hAnsi="Times New Roman" w:eastAsia="宋体" w:cs="Times New Roman"/>
          <w:color w:val="auto"/>
          <w:kern w:val="0"/>
          <w:sz w:val="24"/>
          <w:szCs w:val="24"/>
          <w:lang w:val="en-US" w:eastAsia="zh-CN" w:bidi="ar"/>
        </w:rPr>
        <w:t>以采取自行协商解决、向调解组织申请调解、向仲裁机构申请仲裁或者向人民法院提起诉讼等方式</w:t>
      </w:r>
      <w:r>
        <w:rPr>
          <w:rFonts w:hint="default" w:ascii="Times New Roman" w:hAnsi="Times New Roman" w:eastAsia="宋体" w:cs="Times New Roman"/>
          <w:color w:val="auto"/>
          <w:sz w:val="24"/>
          <w:szCs w:val="24"/>
        </w:rPr>
        <w:t>。投资者提出调解请求的，公司应当积极配合</w:t>
      </w:r>
      <w:r>
        <w:rPr>
          <w:rFonts w:hint="default" w:ascii="Times New Roman" w:hAnsi="Times New Roman" w:eastAsia="宋体" w:cs="Times New Roman"/>
          <w:color w:val="auto"/>
          <w:sz w:val="24"/>
          <w:szCs w:val="24"/>
          <w:lang w:eastAsia="zh-CN"/>
        </w:rPr>
        <w:t>。</w:t>
      </w:r>
    </w:p>
    <w:p w14:paraId="6317FFD7">
      <w:pPr>
        <w:numPr>
          <w:ilvl w:val="0"/>
          <w:numId w:val="1"/>
        </w:numPr>
        <w:spacing w:before="0" w:beforeLines="0" w:after="0" w:afterLines="0" w:line="360" w:lineRule="auto"/>
        <w:ind w:left="0" w:firstLine="512" w:firstLineChars="200"/>
        <w:jc w:val="both"/>
        <w:rPr>
          <w:rFonts w:hint="default" w:ascii="Times New Roman" w:hAnsi="Times New Roman" w:eastAsia="宋体" w:cs="Times New Roman"/>
          <w:bCs/>
          <w:color w:val="auto"/>
          <w:spacing w:val="8"/>
          <w:sz w:val="24"/>
          <w:szCs w:val="24"/>
        </w:rPr>
      </w:pPr>
      <w:r>
        <w:rPr>
          <w:rFonts w:hint="default" w:ascii="Times New Roman" w:hAnsi="Times New Roman" w:eastAsia="宋体" w:cs="Times New Roman"/>
          <w:bCs/>
          <w:color w:val="auto"/>
          <w:spacing w:val="8"/>
          <w:sz w:val="24"/>
          <w:szCs w:val="24"/>
        </w:rPr>
        <w:t>证券事务部为公司投资者关系管理的职能部门，负责投资者关系管理的日常工作。</w:t>
      </w:r>
    </w:p>
    <w:p w14:paraId="6603D784">
      <w:pPr>
        <w:numPr>
          <w:ilvl w:val="0"/>
          <w:numId w:val="1"/>
        </w:numPr>
        <w:spacing w:before="0" w:beforeLines="0" w:after="0" w:afterLines="0" w:line="360" w:lineRule="auto"/>
        <w:ind w:left="0" w:firstLine="512" w:firstLineChars="200"/>
        <w:jc w:val="both"/>
        <w:rPr>
          <w:rFonts w:hint="default" w:ascii="Times New Roman" w:hAnsi="Times New Roman" w:eastAsia="宋体" w:cs="Times New Roman"/>
          <w:bCs/>
          <w:color w:val="auto"/>
          <w:spacing w:val="8"/>
          <w:sz w:val="24"/>
          <w:szCs w:val="24"/>
        </w:rPr>
      </w:pPr>
      <w:r>
        <w:rPr>
          <w:rFonts w:hint="default" w:ascii="Times New Roman" w:hAnsi="Times New Roman" w:eastAsia="宋体" w:cs="Times New Roman"/>
          <w:bCs/>
          <w:color w:val="auto"/>
          <w:spacing w:val="8"/>
          <w:sz w:val="24"/>
          <w:szCs w:val="24"/>
        </w:rPr>
        <w:t>投资者关系</w:t>
      </w:r>
      <w:r>
        <w:rPr>
          <w:rFonts w:hint="default" w:ascii="Times New Roman" w:hAnsi="Times New Roman" w:eastAsia="宋体" w:cs="Times New Roman"/>
          <w:bCs/>
          <w:color w:val="auto"/>
          <w:spacing w:val="8"/>
          <w:sz w:val="24"/>
          <w:szCs w:val="24"/>
          <w:lang w:val="en-US" w:eastAsia="zh-CN"/>
        </w:rPr>
        <w:t>管理</w:t>
      </w:r>
      <w:r>
        <w:rPr>
          <w:rFonts w:hint="default" w:ascii="Times New Roman" w:hAnsi="Times New Roman" w:eastAsia="宋体" w:cs="Times New Roman"/>
          <w:bCs/>
          <w:color w:val="auto"/>
          <w:spacing w:val="8"/>
          <w:sz w:val="24"/>
          <w:szCs w:val="24"/>
        </w:rPr>
        <w:t>工作包括的主要职责是：</w:t>
      </w:r>
    </w:p>
    <w:p w14:paraId="18CBD98C">
      <w:pPr>
        <w:keepNext w:val="0"/>
        <w:keepLines w:val="0"/>
        <w:widowControl w:val="0"/>
        <w:suppressLineNumbers w:val="0"/>
        <w:pBdr>
          <w:top w:val="none" w:color="auto" w:sz="0" w:space="0"/>
        </w:pBdr>
        <w:shd w:val="clear"/>
        <w:spacing w:before="0" w:beforeLines="0" w:beforeAutospacing="0" w:after="0" w:afterLines="0" w:afterAutospacing="0" w:line="360" w:lineRule="auto"/>
        <w:ind w:left="0" w:right="0"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（一）拟定投资者关系管理制度，建立工作机制；</w:t>
      </w:r>
    </w:p>
    <w:p w14:paraId="67B60FA8">
      <w:pPr>
        <w:keepNext w:val="0"/>
        <w:keepLines w:val="0"/>
        <w:widowControl w:val="0"/>
        <w:suppressLineNumbers w:val="0"/>
        <w:pBdr>
          <w:top w:val="none" w:color="auto" w:sz="0" w:space="0"/>
        </w:pBdr>
        <w:shd w:val="clear"/>
        <w:spacing w:before="0" w:beforeLines="0" w:beforeAutospacing="0" w:after="0" w:afterLines="0" w:afterAutospacing="0" w:line="360" w:lineRule="auto"/>
        <w:ind w:left="0" w:right="0"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（二）组织与投资者沟通联络的投资者关系管理活动；</w:t>
      </w:r>
    </w:p>
    <w:p w14:paraId="368A70AC">
      <w:pPr>
        <w:keepNext w:val="0"/>
        <w:keepLines w:val="0"/>
        <w:widowControl w:val="0"/>
        <w:suppressLineNumbers w:val="0"/>
        <w:pBdr>
          <w:top w:val="none" w:color="auto" w:sz="0" w:space="0"/>
        </w:pBdr>
        <w:shd w:val="clear"/>
        <w:spacing w:before="0" w:beforeLines="0" w:beforeAutospacing="0" w:after="0" w:afterLines="0" w:afterAutospacing="0" w:line="360" w:lineRule="auto"/>
        <w:ind w:left="0" w:right="0"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（三）组织及时妥善处理投资者咨询、投诉和建议等诉求，定期反馈给公司董事会以及管理层；</w:t>
      </w:r>
    </w:p>
    <w:p w14:paraId="5821B7F3">
      <w:pPr>
        <w:keepNext w:val="0"/>
        <w:keepLines w:val="0"/>
        <w:widowControl w:val="0"/>
        <w:suppressLineNumbers w:val="0"/>
        <w:pBdr>
          <w:top w:val="none" w:color="auto" w:sz="0" w:space="0"/>
        </w:pBdr>
        <w:shd w:val="clear"/>
        <w:spacing w:before="0" w:beforeLines="0" w:beforeAutospacing="0" w:after="0" w:afterLines="0" w:afterAutospacing="0" w:line="360" w:lineRule="auto"/>
        <w:ind w:left="0" w:right="0"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（四）管理、运行和维护投资者关系管理的相关渠道和平台；</w:t>
      </w:r>
    </w:p>
    <w:p w14:paraId="5CF8F01D">
      <w:pPr>
        <w:keepNext w:val="0"/>
        <w:keepLines w:val="0"/>
        <w:widowControl w:val="0"/>
        <w:suppressLineNumbers w:val="0"/>
        <w:pBdr>
          <w:top w:val="none" w:color="auto" w:sz="0" w:space="0"/>
        </w:pBdr>
        <w:shd w:val="clear"/>
        <w:spacing w:before="0" w:beforeLines="0" w:beforeAutospacing="0" w:after="0" w:afterLines="0" w:afterAutospacing="0" w:line="360" w:lineRule="auto"/>
        <w:ind w:left="0" w:right="0"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（五）保障投资者依法行使股东权利；</w:t>
      </w:r>
    </w:p>
    <w:p w14:paraId="22A52386">
      <w:pPr>
        <w:keepNext w:val="0"/>
        <w:keepLines w:val="0"/>
        <w:widowControl w:val="0"/>
        <w:suppressLineNumbers w:val="0"/>
        <w:pBdr>
          <w:top w:val="none" w:color="auto" w:sz="0" w:space="0"/>
        </w:pBdr>
        <w:shd w:val="clear"/>
        <w:spacing w:before="0" w:beforeLines="0" w:beforeAutospacing="0" w:after="0" w:afterLines="0" w:afterAutospacing="0" w:line="360" w:lineRule="auto"/>
        <w:ind w:left="0" w:right="0"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（六）配合支持投资者保护机构开展维护投资者合法权益的相关工作；</w:t>
      </w:r>
    </w:p>
    <w:p w14:paraId="55A74C2C">
      <w:pPr>
        <w:keepNext w:val="0"/>
        <w:keepLines w:val="0"/>
        <w:widowControl w:val="0"/>
        <w:suppressLineNumbers w:val="0"/>
        <w:pBdr>
          <w:top w:val="none" w:color="auto" w:sz="0" w:space="0"/>
        </w:pBdr>
        <w:shd w:val="clear"/>
        <w:spacing w:before="0" w:beforeLines="0" w:beforeAutospacing="0" w:after="0" w:afterLines="0" w:afterAutospacing="0" w:line="360" w:lineRule="auto"/>
        <w:ind w:left="0" w:right="0"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（七）统计分析公司投资者的数量、构成以及变动等情况；</w:t>
      </w:r>
    </w:p>
    <w:p w14:paraId="41AB125B">
      <w:pPr>
        <w:keepNext w:val="0"/>
        <w:keepLines w:val="0"/>
        <w:widowControl w:val="0"/>
        <w:suppressLineNumbers w:val="0"/>
        <w:pBdr>
          <w:top w:val="none" w:color="auto" w:sz="0" w:space="0"/>
        </w:pBdr>
        <w:shd w:val="clear"/>
        <w:spacing w:before="0" w:beforeLines="0" w:beforeAutospacing="0" w:after="0" w:afterLines="0" w:afterAutospacing="0" w:line="360" w:lineRule="auto"/>
        <w:ind w:left="0" w:right="0"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（八）开展有利于改善投资者关系的其他活动。</w:t>
      </w:r>
    </w:p>
    <w:p w14:paraId="6BEA5F11">
      <w:pPr>
        <w:numPr>
          <w:ilvl w:val="0"/>
          <w:numId w:val="1"/>
        </w:numPr>
        <w:spacing w:before="0" w:beforeLines="0" w:after="0" w:afterLines="0" w:line="360" w:lineRule="auto"/>
        <w:ind w:left="0" w:firstLine="512" w:firstLineChars="200"/>
        <w:jc w:val="both"/>
        <w:rPr>
          <w:rFonts w:hint="default" w:ascii="Times New Roman" w:hAnsi="Times New Roman" w:eastAsia="宋体" w:cs="Times New Roman"/>
          <w:bCs/>
          <w:color w:val="auto"/>
          <w:spacing w:val="8"/>
          <w:sz w:val="24"/>
          <w:szCs w:val="24"/>
        </w:rPr>
      </w:pPr>
      <w:r>
        <w:rPr>
          <w:rFonts w:hint="default" w:ascii="Times New Roman" w:hAnsi="Times New Roman" w:eastAsia="宋体" w:cs="Times New Roman"/>
          <w:bCs/>
          <w:color w:val="auto"/>
          <w:spacing w:val="8"/>
          <w:sz w:val="24"/>
          <w:szCs w:val="24"/>
        </w:rPr>
        <w:t>投资者关系管理从业人员面对公司投资者，是公司对外发布信息和树立公司整体形象的窗口，应具备以下素质和技能：</w:t>
      </w:r>
    </w:p>
    <w:p w14:paraId="5E6EF62B">
      <w:pPr>
        <w:keepNext w:val="0"/>
        <w:keepLines w:val="0"/>
        <w:widowControl w:val="0"/>
        <w:suppressLineNumbers w:val="0"/>
        <w:pBdr>
          <w:top w:val="none" w:color="auto" w:sz="0" w:space="0"/>
        </w:pBdr>
        <w:shd w:val="clear"/>
        <w:spacing w:before="0" w:beforeLines="0" w:beforeAutospacing="0" w:after="0" w:afterLines="0" w:afterAutospacing="0" w:line="360" w:lineRule="auto"/>
        <w:ind w:left="0" w:right="0"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（一）良好的品行和职业素养，诚实守信；</w:t>
      </w:r>
    </w:p>
    <w:p w14:paraId="0846A236">
      <w:pPr>
        <w:keepNext w:val="0"/>
        <w:keepLines w:val="0"/>
        <w:widowControl w:val="0"/>
        <w:suppressLineNumbers w:val="0"/>
        <w:pBdr>
          <w:top w:val="none" w:color="auto" w:sz="0" w:space="0"/>
        </w:pBdr>
        <w:shd w:val="clear"/>
        <w:spacing w:before="0" w:beforeLines="0" w:beforeAutospacing="0" w:after="0" w:afterLines="0" w:afterAutospacing="0" w:line="360" w:lineRule="auto"/>
        <w:ind w:left="0" w:right="0"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（二）良好的专业知识结构，熟悉公司治理、财务会计等相关</w:t>
      </w:r>
      <w:r>
        <w:rPr>
          <w:rFonts w:hint="eastAsia" w:ascii="Times New Roman" w:hAnsi="Times New Roman" w:eastAsia="宋体" w:cs="Times New Roman"/>
          <w:color w:val="auto"/>
          <w:sz w:val="24"/>
          <w:szCs w:val="24"/>
          <w:lang w:eastAsia="zh-CN"/>
        </w:rPr>
        <w:t>法律法规</w:t>
      </w:r>
      <w:r>
        <w:rPr>
          <w:rFonts w:hint="default" w:ascii="Times New Roman" w:hAnsi="Times New Roman" w:eastAsia="宋体" w:cs="Times New Roman"/>
          <w:color w:val="auto"/>
          <w:sz w:val="24"/>
          <w:szCs w:val="24"/>
        </w:rPr>
        <w:t>和证券市场的运作机制；</w:t>
      </w:r>
    </w:p>
    <w:p w14:paraId="2474F081">
      <w:pPr>
        <w:keepNext w:val="0"/>
        <w:keepLines w:val="0"/>
        <w:widowControl w:val="0"/>
        <w:suppressLineNumbers w:val="0"/>
        <w:pBdr>
          <w:top w:val="none" w:color="auto" w:sz="0" w:space="0"/>
        </w:pBdr>
        <w:shd w:val="clear"/>
        <w:spacing w:before="0" w:beforeLines="0" w:beforeAutospacing="0" w:after="0" w:afterLines="0" w:afterAutospacing="0" w:line="360" w:lineRule="auto"/>
        <w:ind w:left="0" w:right="0"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（三）良好的沟通和协调能力；</w:t>
      </w:r>
    </w:p>
    <w:p w14:paraId="296E0FCC">
      <w:pPr>
        <w:keepNext w:val="0"/>
        <w:keepLines w:val="0"/>
        <w:widowControl w:val="0"/>
        <w:suppressLineNumbers w:val="0"/>
        <w:pBdr>
          <w:top w:val="none" w:color="auto" w:sz="0" w:space="0"/>
        </w:pBdr>
        <w:shd w:val="clear"/>
        <w:spacing w:before="0" w:beforeLines="0" w:beforeAutospacing="0" w:after="0" w:afterLines="0" w:afterAutospacing="0" w:line="360" w:lineRule="auto"/>
        <w:ind w:left="0" w:right="0" w:firstLine="480" w:firstLineChars="200"/>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rPr>
        <w:t>（四）全面了解公司以及公司所处行业的情况</w:t>
      </w:r>
      <w:r>
        <w:rPr>
          <w:rFonts w:hint="default" w:ascii="Times New Roman" w:hAnsi="Times New Roman" w:eastAsia="宋体" w:cs="Times New Roman"/>
          <w:color w:val="auto"/>
          <w:sz w:val="24"/>
          <w:szCs w:val="24"/>
          <w:lang w:eastAsia="zh-CN"/>
        </w:rPr>
        <w:t>。</w:t>
      </w:r>
    </w:p>
    <w:p w14:paraId="6A5B7C0B">
      <w:pPr>
        <w:numPr>
          <w:ilvl w:val="0"/>
          <w:numId w:val="1"/>
        </w:numPr>
        <w:spacing w:before="0" w:beforeLines="0" w:after="0" w:afterLines="0" w:line="360" w:lineRule="auto"/>
        <w:ind w:left="0" w:firstLine="512" w:firstLineChars="200"/>
        <w:jc w:val="both"/>
        <w:rPr>
          <w:rFonts w:hint="default" w:ascii="Times New Roman" w:hAnsi="Times New Roman" w:eastAsia="宋体" w:cs="Times New Roman"/>
          <w:bCs/>
          <w:color w:val="auto"/>
          <w:spacing w:val="8"/>
          <w:sz w:val="24"/>
          <w:szCs w:val="24"/>
        </w:rPr>
      </w:pPr>
      <w:r>
        <w:rPr>
          <w:rFonts w:hint="default" w:ascii="Times New Roman" w:hAnsi="Times New Roman" w:eastAsia="宋体" w:cs="Times New Roman"/>
          <w:bCs/>
          <w:color w:val="auto"/>
          <w:spacing w:val="8"/>
          <w:sz w:val="24"/>
          <w:szCs w:val="24"/>
        </w:rPr>
        <w:t>公司可聘请专业的投资者关系工作机构协助实施投资者关系工作。</w:t>
      </w:r>
    </w:p>
    <w:p w14:paraId="1DC7EAB2">
      <w:pPr>
        <w:numPr>
          <w:ilvl w:val="0"/>
          <w:numId w:val="1"/>
        </w:numPr>
        <w:spacing w:before="0" w:beforeLines="0" w:after="0" w:afterLines="0" w:line="360" w:lineRule="auto"/>
        <w:ind w:left="0" w:firstLine="512" w:firstLineChars="200"/>
        <w:jc w:val="both"/>
        <w:rPr>
          <w:rFonts w:hint="default" w:ascii="Times New Roman" w:hAnsi="Times New Roman" w:eastAsia="宋体" w:cs="Times New Roman"/>
          <w:bCs/>
          <w:color w:val="auto"/>
          <w:spacing w:val="8"/>
          <w:sz w:val="24"/>
          <w:szCs w:val="24"/>
        </w:rPr>
      </w:pPr>
      <w:r>
        <w:rPr>
          <w:rFonts w:hint="default" w:ascii="Times New Roman" w:hAnsi="Times New Roman" w:eastAsia="宋体" w:cs="Times New Roman"/>
          <w:bCs/>
          <w:color w:val="auto"/>
          <w:spacing w:val="8"/>
          <w:sz w:val="24"/>
          <w:szCs w:val="24"/>
        </w:rPr>
        <w:t>公司可采取适当方式对全体员工特别是董事、高级管理人员和相关部门负责人进行投资者关系工作相关知识的培训。以提高其与特定对象进行沟通的能力，增强其对相关法律法规、业务规则和规章制度的理解，树立公平披露意识。</w:t>
      </w:r>
    </w:p>
    <w:p w14:paraId="3E3A31EE">
      <w:pPr>
        <w:numPr>
          <w:ilvl w:val="0"/>
          <w:numId w:val="0"/>
        </w:numPr>
        <w:spacing w:before="0" w:beforeLines="0" w:after="0" w:afterLines="0" w:line="360" w:lineRule="auto"/>
        <w:ind w:left="496" w:firstLine="0" w:firstLineChars="0"/>
        <w:jc w:val="both"/>
        <w:rPr>
          <w:rFonts w:hint="default" w:ascii="Times New Roman" w:hAnsi="Times New Roman" w:eastAsia="宋体" w:cs="Times New Roman"/>
          <w:bCs/>
          <w:color w:val="auto"/>
          <w:spacing w:val="8"/>
          <w:sz w:val="24"/>
          <w:szCs w:val="24"/>
        </w:rPr>
      </w:pPr>
    </w:p>
    <w:p w14:paraId="56690D14">
      <w:pPr>
        <w:autoSpaceDE/>
        <w:autoSpaceDN/>
        <w:spacing w:before="0" w:beforeLines="0" w:after="0" w:afterLines="0" w:line="360" w:lineRule="auto"/>
        <w:ind w:left="0"/>
        <w:jc w:val="center"/>
        <w:outlineLvl w:val="1"/>
        <w:rPr>
          <w:rFonts w:hint="default" w:ascii="Times New Roman" w:hAnsi="Times New Roman" w:eastAsia="宋体" w:cs="Times New Roman"/>
          <w:b/>
          <w:bCs/>
          <w:color w:val="auto"/>
          <w:spacing w:val="0"/>
          <w:kern w:val="2"/>
          <w:sz w:val="24"/>
          <w:szCs w:val="24"/>
          <w:lang w:val="en-US" w:bidi="ar-SA"/>
        </w:rPr>
      </w:pPr>
      <w:r>
        <w:rPr>
          <w:rFonts w:hint="default" w:ascii="Times New Roman" w:hAnsi="Times New Roman" w:eastAsia="宋体" w:cs="Times New Roman"/>
          <w:b/>
          <w:bCs/>
          <w:color w:val="auto"/>
          <w:spacing w:val="0"/>
          <w:kern w:val="2"/>
          <w:sz w:val="24"/>
          <w:szCs w:val="24"/>
          <w:lang w:val="en-US" w:bidi="ar-SA"/>
        </w:rPr>
        <w:t>第五章 投资者关系管理总体要求</w:t>
      </w:r>
    </w:p>
    <w:p w14:paraId="39147BD5">
      <w:pPr>
        <w:numPr>
          <w:ilvl w:val="0"/>
          <w:numId w:val="1"/>
        </w:numPr>
        <w:spacing w:before="0" w:beforeLines="0" w:after="0" w:afterLines="0" w:line="360" w:lineRule="auto"/>
        <w:ind w:left="0" w:firstLine="512" w:firstLineChars="200"/>
        <w:jc w:val="both"/>
        <w:rPr>
          <w:rFonts w:hint="default" w:ascii="Times New Roman" w:hAnsi="Times New Roman" w:eastAsia="宋体" w:cs="Times New Roman"/>
          <w:bCs/>
          <w:color w:val="auto"/>
          <w:spacing w:val="8"/>
          <w:sz w:val="24"/>
          <w:szCs w:val="24"/>
        </w:rPr>
      </w:pPr>
      <w:r>
        <w:rPr>
          <w:rFonts w:hint="default" w:ascii="Times New Roman" w:hAnsi="Times New Roman" w:eastAsia="宋体" w:cs="Times New Roman"/>
          <w:bCs/>
          <w:color w:val="auto"/>
          <w:spacing w:val="8"/>
          <w:sz w:val="24"/>
          <w:szCs w:val="24"/>
        </w:rPr>
        <w:t>公司以及董事、高级管理人员和工作人员开展投资者关系管理工作应当体现公开、公平、公正原则，客观、真实、准确、完整地介绍和反映公司的实际状况，不得出现以下情形：</w:t>
      </w:r>
    </w:p>
    <w:p w14:paraId="6FAFBA20">
      <w:pPr>
        <w:keepNext w:val="0"/>
        <w:keepLines w:val="0"/>
        <w:pageBreakBefore w:val="0"/>
        <w:widowControl w:val="0"/>
        <w:kinsoku/>
        <w:wordWrap/>
        <w:overflowPunct/>
        <w:topLinePunct w:val="0"/>
        <w:autoSpaceDE w:val="0"/>
        <w:autoSpaceDN w:val="0"/>
        <w:bidi w:val="0"/>
        <w:adjustRightInd/>
        <w:snapToGrid/>
        <w:spacing w:before="0" w:beforeLines="0" w:after="0" w:afterLines="0" w:line="360" w:lineRule="auto"/>
        <w:ind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（一）透露或者发布尚未公开的重大事件信息，或者与依法披露的信息相冲突的信息；</w:t>
      </w:r>
    </w:p>
    <w:p w14:paraId="11368DB0">
      <w:pPr>
        <w:keepNext w:val="0"/>
        <w:keepLines w:val="0"/>
        <w:pageBreakBefore w:val="0"/>
        <w:widowControl w:val="0"/>
        <w:kinsoku/>
        <w:wordWrap/>
        <w:overflowPunct/>
        <w:topLinePunct w:val="0"/>
        <w:autoSpaceDE w:val="0"/>
        <w:autoSpaceDN w:val="0"/>
        <w:bidi w:val="0"/>
        <w:adjustRightInd/>
        <w:snapToGrid/>
        <w:spacing w:before="0" w:beforeLines="0" w:after="0" w:afterLines="0" w:line="360" w:lineRule="auto"/>
        <w:ind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（二）透露或者发布含有误导性、虚假性或者夸大性的信息；</w:t>
      </w:r>
    </w:p>
    <w:p w14:paraId="684440B4">
      <w:pPr>
        <w:keepNext w:val="0"/>
        <w:keepLines w:val="0"/>
        <w:pageBreakBefore w:val="0"/>
        <w:widowControl w:val="0"/>
        <w:kinsoku/>
        <w:wordWrap/>
        <w:overflowPunct/>
        <w:topLinePunct w:val="0"/>
        <w:autoSpaceDE w:val="0"/>
        <w:autoSpaceDN w:val="0"/>
        <w:bidi w:val="0"/>
        <w:adjustRightInd/>
        <w:snapToGrid/>
        <w:spacing w:before="0" w:beforeLines="0" w:after="0" w:afterLines="0" w:line="360" w:lineRule="auto"/>
        <w:ind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（三）选择性透露或者发布信息，或者存在重大遗漏；</w:t>
      </w:r>
    </w:p>
    <w:p w14:paraId="72132EB9">
      <w:pPr>
        <w:keepNext w:val="0"/>
        <w:keepLines w:val="0"/>
        <w:pageBreakBefore w:val="0"/>
        <w:widowControl w:val="0"/>
        <w:kinsoku/>
        <w:wordWrap/>
        <w:overflowPunct/>
        <w:topLinePunct w:val="0"/>
        <w:autoSpaceDE w:val="0"/>
        <w:autoSpaceDN w:val="0"/>
        <w:bidi w:val="0"/>
        <w:adjustRightInd/>
        <w:snapToGrid/>
        <w:spacing w:before="0" w:beforeLines="0" w:after="0" w:afterLines="0" w:line="360" w:lineRule="auto"/>
        <w:ind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（四）对公司证券价格作出预测或承诺；</w:t>
      </w:r>
    </w:p>
    <w:p w14:paraId="37642A39">
      <w:pPr>
        <w:keepNext w:val="0"/>
        <w:keepLines w:val="0"/>
        <w:pageBreakBefore w:val="0"/>
        <w:widowControl w:val="0"/>
        <w:kinsoku/>
        <w:wordWrap/>
        <w:overflowPunct/>
        <w:topLinePunct w:val="0"/>
        <w:autoSpaceDE w:val="0"/>
        <w:autoSpaceDN w:val="0"/>
        <w:bidi w:val="0"/>
        <w:adjustRightInd/>
        <w:snapToGrid/>
        <w:spacing w:before="0" w:beforeLines="0" w:after="0" w:afterLines="0" w:line="360" w:lineRule="auto"/>
        <w:ind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（五）未得到明确授权的情况下代表公司发言；</w:t>
      </w:r>
    </w:p>
    <w:p w14:paraId="65A78741">
      <w:pPr>
        <w:keepNext w:val="0"/>
        <w:keepLines w:val="0"/>
        <w:pageBreakBefore w:val="0"/>
        <w:widowControl w:val="0"/>
        <w:kinsoku/>
        <w:wordWrap/>
        <w:overflowPunct/>
        <w:topLinePunct w:val="0"/>
        <w:autoSpaceDE w:val="0"/>
        <w:autoSpaceDN w:val="0"/>
        <w:bidi w:val="0"/>
        <w:adjustRightInd/>
        <w:snapToGrid/>
        <w:spacing w:before="0" w:beforeLines="0" w:after="0" w:afterLines="0" w:line="360" w:lineRule="auto"/>
        <w:ind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（六）歧视、轻视等不公平对待中小股东或者造成不公平披露的行为；</w:t>
      </w:r>
    </w:p>
    <w:p w14:paraId="568FD2B7">
      <w:pPr>
        <w:keepNext w:val="0"/>
        <w:keepLines w:val="0"/>
        <w:pageBreakBefore w:val="0"/>
        <w:widowControl w:val="0"/>
        <w:kinsoku/>
        <w:wordWrap/>
        <w:overflowPunct/>
        <w:topLinePunct w:val="0"/>
        <w:autoSpaceDE w:val="0"/>
        <w:autoSpaceDN w:val="0"/>
        <w:bidi w:val="0"/>
        <w:adjustRightInd/>
        <w:snapToGrid/>
        <w:spacing w:before="0" w:beforeLines="0" w:after="0" w:afterLines="0" w:line="360" w:lineRule="auto"/>
        <w:ind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（七）违反公序良俗，损害社会公共利益；</w:t>
      </w:r>
    </w:p>
    <w:p w14:paraId="7B83C78A">
      <w:pPr>
        <w:keepNext w:val="0"/>
        <w:keepLines w:val="0"/>
        <w:pageBreakBefore w:val="0"/>
        <w:widowControl w:val="0"/>
        <w:kinsoku/>
        <w:wordWrap/>
        <w:overflowPunct/>
        <w:topLinePunct w:val="0"/>
        <w:autoSpaceDE w:val="0"/>
        <w:autoSpaceDN w:val="0"/>
        <w:bidi w:val="0"/>
        <w:adjustRightInd/>
        <w:snapToGrid/>
        <w:spacing w:before="0" w:beforeLines="0" w:after="0" w:afterLines="0" w:line="360" w:lineRule="auto"/>
        <w:ind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（八）其他违反信息披露规定，或者影响公司证券及其衍生品种正常交易的违法违规行为。</w:t>
      </w:r>
    </w:p>
    <w:p w14:paraId="0858C42F">
      <w:pPr>
        <w:numPr>
          <w:ilvl w:val="0"/>
          <w:numId w:val="1"/>
        </w:numPr>
        <w:spacing w:before="0" w:beforeLines="0" w:after="0" w:afterLines="0" w:line="360" w:lineRule="auto"/>
        <w:ind w:left="0" w:firstLine="512" w:firstLineChars="200"/>
        <w:jc w:val="both"/>
        <w:rPr>
          <w:rFonts w:hint="default" w:ascii="Times New Roman" w:hAnsi="Times New Roman" w:eastAsia="宋体" w:cs="Times New Roman"/>
          <w:bCs/>
          <w:color w:val="auto"/>
          <w:spacing w:val="8"/>
          <w:sz w:val="24"/>
          <w:szCs w:val="24"/>
        </w:rPr>
      </w:pPr>
      <w:r>
        <w:rPr>
          <w:rFonts w:hint="default" w:ascii="Times New Roman" w:hAnsi="Times New Roman" w:eastAsia="宋体" w:cs="Times New Roman"/>
          <w:bCs/>
          <w:color w:val="auto"/>
          <w:spacing w:val="8"/>
          <w:sz w:val="24"/>
          <w:szCs w:val="24"/>
        </w:rPr>
        <w:t>公司开展投资者关系管理活动，应当以已公开披露信息作为交流内容，不得以任何方式透露或者泄露未公开披露的重大信息。</w:t>
      </w:r>
    </w:p>
    <w:p w14:paraId="66F7E09B">
      <w:pPr>
        <w:spacing w:before="0" w:beforeLines="0" w:after="0" w:afterLines="0" w:line="360" w:lineRule="auto"/>
        <w:ind w:firstLine="512" w:firstLineChars="200"/>
        <w:jc w:val="both"/>
        <w:rPr>
          <w:rFonts w:hint="default" w:ascii="Times New Roman" w:hAnsi="Times New Roman" w:eastAsia="宋体" w:cs="Times New Roman"/>
          <w:bCs/>
          <w:color w:val="auto"/>
          <w:spacing w:val="8"/>
          <w:sz w:val="24"/>
          <w:szCs w:val="24"/>
        </w:rPr>
      </w:pPr>
      <w:r>
        <w:rPr>
          <w:rFonts w:hint="default" w:ascii="Times New Roman" w:hAnsi="Times New Roman" w:eastAsia="宋体" w:cs="Times New Roman"/>
          <w:bCs/>
          <w:color w:val="auto"/>
          <w:spacing w:val="8"/>
          <w:sz w:val="24"/>
          <w:szCs w:val="24"/>
        </w:rPr>
        <w:t>投资者关系活动中涉及或者可能涉及股价敏感事项、未公开披露的重大信息或者可以推测出未公开披露的重大信息的提问的，公司应当告知投资者关注公司公告，并就信息披露规则进行必要的解释说明。</w:t>
      </w:r>
    </w:p>
    <w:p w14:paraId="632C4762">
      <w:pPr>
        <w:spacing w:before="0" w:beforeLines="0" w:after="0" w:afterLines="0" w:line="360" w:lineRule="auto"/>
        <w:ind w:firstLine="512" w:firstLineChars="200"/>
        <w:jc w:val="both"/>
        <w:rPr>
          <w:rFonts w:hint="default" w:ascii="Times New Roman" w:hAnsi="Times New Roman" w:eastAsia="宋体" w:cs="Times New Roman"/>
          <w:bCs/>
          <w:color w:val="auto"/>
          <w:spacing w:val="8"/>
          <w:sz w:val="24"/>
          <w:szCs w:val="24"/>
        </w:rPr>
      </w:pPr>
      <w:r>
        <w:rPr>
          <w:rFonts w:hint="default" w:ascii="Times New Roman" w:hAnsi="Times New Roman" w:eastAsia="宋体" w:cs="Times New Roman"/>
          <w:bCs/>
          <w:color w:val="auto"/>
          <w:spacing w:val="8"/>
          <w:sz w:val="24"/>
          <w:szCs w:val="24"/>
        </w:rPr>
        <w:t>公司不得以投资者关系管理活动中的交流代替正式信息披露。公司在投资者关系管理活动中不慎泄露未公开披露的重大信息的，应当立即通过符合条件媒体发布公告，并采取其他必要措施。</w:t>
      </w:r>
    </w:p>
    <w:p w14:paraId="73B8A96A">
      <w:pPr>
        <w:numPr>
          <w:ilvl w:val="0"/>
          <w:numId w:val="1"/>
        </w:numPr>
        <w:spacing w:before="0" w:beforeLines="0" w:after="0" w:afterLines="0" w:line="360" w:lineRule="auto"/>
        <w:ind w:left="0" w:firstLine="512" w:firstLineChars="200"/>
        <w:jc w:val="both"/>
        <w:rPr>
          <w:rFonts w:hint="default" w:ascii="Times New Roman" w:hAnsi="Times New Roman" w:eastAsia="宋体" w:cs="Times New Roman"/>
          <w:bCs/>
          <w:color w:val="auto"/>
          <w:spacing w:val="8"/>
          <w:sz w:val="24"/>
          <w:szCs w:val="24"/>
        </w:rPr>
      </w:pPr>
      <w:r>
        <w:rPr>
          <w:rFonts w:hint="default" w:ascii="Times New Roman" w:hAnsi="Times New Roman" w:eastAsia="宋体" w:cs="Times New Roman"/>
          <w:bCs/>
          <w:color w:val="auto"/>
          <w:spacing w:val="8"/>
          <w:sz w:val="24"/>
          <w:szCs w:val="24"/>
        </w:rPr>
        <w:t>公司应当尽量避免在年度报告、半年度报告披露前三十日内接受投资者现场调研、媒体采访等。</w:t>
      </w:r>
    </w:p>
    <w:p w14:paraId="50048865">
      <w:pPr>
        <w:numPr>
          <w:ilvl w:val="0"/>
          <w:numId w:val="1"/>
        </w:numPr>
        <w:spacing w:before="0" w:beforeLines="0" w:after="0" w:afterLines="0" w:line="360" w:lineRule="auto"/>
        <w:ind w:left="0" w:firstLine="512" w:firstLineChars="200"/>
        <w:jc w:val="both"/>
        <w:rPr>
          <w:rFonts w:hint="default" w:ascii="Times New Roman" w:hAnsi="Times New Roman" w:eastAsia="宋体" w:cs="Times New Roman"/>
          <w:bCs/>
          <w:color w:val="auto"/>
          <w:spacing w:val="8"/>
          <w:sz w:val="24"/>
          <w:szCs w:val="24"/>
        </w:rPr>
      </w:pPr>
      <w:r>
        <w:rPr>
          <w:rFonts w:hint="default" w:ascii="Times New Roman" w:hAnsi="Times New Roman" w:eastAsia="宋体" w:cs="Times New Roman"/>
          <w:bCs/>
          <w:color w:val="auto"/>
          <w:spacing w:val="8"/>
          <w:sz w:val="24"/>
          <w:szCs w:val="24"/>
        </w:rPr>
        <w:t>公司进行投资者关系活动应当建立完备的投资者关系管理档案制度，投资者关系管理档案至少应当包括以下内容：</w:t>
      </w:r>
    </w:p>
    <w:p w14:paraId="3046950F">
      <w:pPr>
        <w:numPr>
          <w:ilvl w:val="0"/>
          <w:numId w:val="4"/>
        </w:numPr>
        <w:spacing w:before="0" w:beforeLines="0" w:after="0" w:afterLines="0" w:line="360" w:lineRule="auto"/>
        <w:ind w:left="0" w:firstLine="512" w:firstLineChars="200"/>
        <w:jc w:val="both"/>
        <w:rPr>
          <w:rFonts w:hint="default" w:ascii="Times New Roman" w:hAnsi="Times New Roman" w:eastAsia="宋体" w:cs="Times New Roman"/>
          <w:bCs/>
          <w:color w:val="auto"/>
          <w:spacing w:val="8"/>
          <w:sz w:val="24"/>
          <w:szCs w:val="24"/>
        </w:rPr>
      </w:pPr>
      <w:r>
        <w:rPr>
          <w:rFonts w:hint="default" w:ascii="Times New Roman" w:hAnsi="Times New Roman" w:eastAsia="宋体" w:cs="Times New Roman"/>
          <w:bCs/>
          <w:color w:val="auto"/>
          <w:spacing w:val="8"/>
          <w:sz w:val="24"/>
          <w:szCs w:val="24"/>
        </w:rPr>
        <w:t>投资者关系活动参与人员、时间、地点；</w:t>
      </w:r>
    </w:p>
    <w:p w14:paraId="72B89305">
      <w:pPr>
        <w:numPr>
          <w:ilvl w:val="0"/>
          <w:numId w:val="4"/>
        </w:numPr>
        <w:spacing w:before="0" w:beforeLines="0" w:after="0" w:afterLines="0" w:line="360" w:lineRule="auto"/>
        <w:ind w:left="0" w:firstLine="512" w:firstLineChars="200"/>
        <w:jc w:val="both"/>
        <w:rPr>
          <w:rFonts w:hint="default" w:ascii="Times New Roman" w:hAnsi="Times New Roman" w:eastAsia="宋体" w:cs="Times New Roman"/>
          <w:bCs/>
          <w:color w:val="auto"/>
          <w:spacing w:val="8"/>
          <w:sz w:val="24"/>
          <w:szCs w:val="24"/>
        </w:rPr>
      </w:pPr>
      <w:r>
        <w:rPr>
          <w:rFonts w:hint="default" w:ascii="Times New Roman" w:hAnsi="Times New Roman" w:eastAsia="宋体" w:cs="Times New Roman"/>
          <w:bCs/>
          <w:color w:val="auto"/>
          <w:spacing w:val="8"/>
          <w:sz w:val="24"/>
          <w:szCs w:val="24"/>
        </w:rPr>
        <w:t>投资者关系活动的交流内容；</w:t>
      </w:r>
    </w:p>
    <w:p w14:paraId="34DB72E1">
      <w:pPr>
        <w:numPr>
          <w:ilvl w:val="0"/>
          <w:numId w:val="4"/>
        </w:numPr>
        <w:spacing w:before="0" w:beforeLines="0" w:after="0" w:afterLines="0" w:line="360" w:lineRule="auto"/>
        <w:ind w:left="0" w:firstLine="512" w:firstLineChars="200"/>
        <w:jc w:val="both"/>
        <w:rPr>
          <w:rFonts w:hint="default" w:ascii="Times New Roman" w:hAnsi="Times New Roman" w:eastAsia="宋体" w:cs="Times New Roman"/>
          <w:bCs/>
          <w:color w:val="auto"/>
          <w:spacing w:val="8"/>
          <w:sz w:val="24"/>
          <w:szCs w:val="24"/>
        </w:rPr>
      </w:pPr>
      <w:r>
        <w:rPr>
          <w:rFonts w:hint="default" w:ascii="Times New Roman" w:hAnsi="Times New Roman" w:eastAsia="宋体" w:cs="Times New Roman"/>
          <w:bCs/>
          <w:color w:val="auto"/>
          <w:spacing w:val="8"/>
          <w:sz w:val="24"/>
          <w:szCs w:val="24"/>
        </w:rPr>
        <w:t>未公开重大信息泄密的处理过程及责任追究情况（如有）；</w:t>
      </w:r>
    </w:p>
    <w:p w14:paraId="700FE9B9">
      <w:pPr>
        <w:numPr>
          <w:ilvl w:val="0"/>
          <w:numId w:val="4"/>
        </w:numPr>
        <w:spacing w:before="0" w:beforeLines="0" w:after="0" w:afterLines="0" w:line="360" w:lineRule="auto"/>
        <w:ind w:left="0" w:firstLine="512" w:firstLineChars="200"/>
        <w:jc w:val="both"/>
        <w:rPr>
          <w:rFonts w:hint="default" w:ascii="Times New Roman" w:hAnsi="Times New Roman" w:eastAsia="宋体" w:cs="Times New Roman"/>
          <w:bCs/>
          <w:color w:val="auto"/>
          <w:spacing w:val="8"/>
          <w:sz w:val="24"/>
          <w:szCs w:val="24"/>
        </w:rPr>
      </w:pPr>
      <w:r>
        <w:rPr>
          <w:rFonts w:hint="default" w:ascii="Times New Roman" w:hAnsi="Times New Roman" w:eastAsia="宋体" w:cs="Times New Roman"/>
          <w:bCs/>
          <w:color w:val="auto"/>
          <w:spacing w:val="8"/>
          <w:sz w:val="24"/>
          <w:szCs w:val="24"/>
        </w:rPr>
        <w:t>其他内容。</w:t>
      </w:r>
    </w:p>
    <w:p w14:paraId="37C8DAF5">
      <w:pPr>
        <w:spacing w:before="0" w:beforeLines="0" w:after="0" w:afterLines="0" w:line="360" w:lineRule="auto"/>
        <w:ind w:firstLine="512" w:firstLineChars="200"/>
        <w:jc w:val="both"/>
        <w:rPr>
          <w:rFonts w:hint="default" w:ascii="Times New Roman" w:hAnsi="Times New Roman" w:eastAsia="宋体" w:cs="Times New Roman"/>
          <w:bCs/>
          <w:color w:val="auto"/>
          <w:spacing w:val="8"/>
          <w:sz w:val="24"/>
          <w:szCs w:val="24"/>
        </w:rPr>
      </w:pPr>
      <w:r>
        <w:rPr>
          <w:rFonts w:hint="default" w:ascii="Times New Roman" w:hAnsi="Times New Roman" w:eastAsia="宋体" w:cs="Times New Roman"/>
          <w:bCs/>
          <w:color w:val="auto"/>
          <w:spacing w:val="8"/>
          <w:sz w:val="24"/>
          <w:szCs w:val="24"/>
        </w:rPr>
        <w:t>投资者关系管理档案应当按照投资者关系管理的方式进行分类，将相关记录、现场录音、演示文稿、活动中提供的文档（如有）等文件资料存档并妥善保管，保存期限不得少于三年。</w:t>
      </w:r>
    </w:p>
    <w:p w14:paraId="71C8D200">
      <w:pPr>
        <w:numPr>
          <w:ilvl w:val="0"/>
          <w:numId w:val="1"/>
        </w:numPr>
        <w:spacing w:before="0" w:beforeLines="0" w:after="0" w:afterLines="0" w:line="360" w:lineRule="auto"/>
        <w:ind w:left="0" w:firstLine="512" w:firstLineChars="200"/>
        <w:jc w:val="both"/>
        <w:rPr>
          <w:rFonts w:hint="default" w:ascii="Times New Roman" w:hAnsi="Times New Roman" w:eastAsia="宋体" w:cs="Times New Roman"/>
          <w:bCs/>
          <w:color w:val="auto"/>
          <w:spacing w:val="8"/>
          <w:sz w:val="24"/>
          <w:szCs w:val="24"/>
        </w:rPr>
      </w:pPr>
      <w:r>
        <w:rPr>
          <w:rFonts w:hint="default" w:ascii="Times New Roman" w:hAnsi="Times New Roman" w:eastAsia="宋体" w:cs="Times New Roman"/>
          <w:bCs/>
          <w:color w:val="auto"/>
          <w:spacing w:val="8"/>
          <w:sz w:val="24"/>
          <w:szCs w:val="24"/>
        </w:rPr>
        <w:t>公司应当根据规定在定期报告中公布公司网址和咨询电话号码。当网址或者咨询电话号码发生变更后，公司应当及时进行公告。</w:t>
      </w:r>
    </w:p>
    <w:p w14:paraId="01B7BE59">
      <w:pPr>
        <w:spacing w:before="0" w:beforeLines="0" w:after="0" w:afterLines="0" w:line="360" w:lineRule="auto"/>
        <w:ind w:firstLine="512" w:firstLineChars="200"/>
        <w:jc w:val="both"/>
        <w:rPr>
          <w:rFonts w:hint="default" w:ascii="Times New Roman" w:hAnsi="Times New Roman" w:eastAsia="宋体" w:cs="Times New Roman"/>
          <w:bCs/>
          <w:color w:val="auto"/>
          <w:spacing w:val="8"/>
          <w:sz w:val="24"/>
          <w:szCs w:val="24"/>
        </w:rPr>
      </w:pPr>
      <w:r>
        <w:rPr>
          <w:rFonts w:hint="default" w:ascii="Times New Roman" w:hAnsi="Times New Roman" w:eastAsia="宋体" w:cs="Times New Roman"/>
          <w:bCs/>
          <w:color w:val="auto"/>
          <w:spacing w:val="8"/>
          <w:sz w:val="24"/>
          <w:szCs w:val="24"/>
        </w:rPr>
        <w:t>公司应当保证咨询电话、传真和电子信箱等对外联系渠道畅通，确保咨询电话在工作时间有专人接听，并通过有效形式及时向投资者答复和反馈相关信息。</w:t>
      </w:r>
    </w:p>
    <w:p w14:paraId="508D2BF4">
      <w:pPr>
        <w:numPr>
          <w:ilvl w:val="0"/>
          <w:numId w:val="1"/>
        </w:numPr>
        <w:spacing w:before="0" w:beforeLines="0" w:after="0" w:afterLines="0" w:line="360" w:lineRule="auto"/>
        <w:ind w:left="0" w:firstLine="512" w:firstLineChars="200"/>
        <w:jc w:val="both"/>
        <w:rPr>
          <w:rFonts w:hint="default" w:ascii="Times New Roman" w:hAnsi="Times New Roman" w:eastAsia="宋体" w:cs="Times New Roman"/>
          <w:bCs/>
          <w:color w:val="auto"/>
          <w:spacing w:val="8"/>
          <w:sz w:val="24"/>
          <w:szCs w:val="24"/>
        </w:rPr>
      </w:pPr>
      <w:r>
        <w:rPr>
          <w:rFonts w:hint="default" w:ascii="Times New Roman" w:hAnsi="Times New Roman" w:eastAsia="宋体" w:cs="Times New Roman"/>
          <w:bCs/>
          <w:color w:val="auto"/>
          <w:spacing w:val="8"/>
          <w:sz w:val="24"/>
          <w:szCs w:val="24"/>
        </w:rPr>
        <w:t>公司对非正式公告方式向外界传达的信息进行严格审查，设置审阅或者记录程序，以防止泄漏未公开重大信息。</w:t>
      </w:r>
    </w:p>
    <w:p w14:paraId="763D8060">
      <w:pPr>
        <w:spacing w:before="0" w:beforeLines="0" w:after="0" w:afterLines="0" w:line="360" w:lineRule="auto"/>
        <w:ind w:firstLine="512" w:firstLineChars="200"/>
        <w:jc w:val="both"/>
        <w:rPr>
          <w:rFonts w:hint="default" w:ascii="Times New Roman" w:hAnsi="Times New Roman" w:eastAsia="宋体" w:cs="Times New Roman"/>
          <w:bCs/>
          <w:color w:val="auto"/>
          <w:spacing w:val="8"/>
          <w:sz w:val="24"/>
          <w:szCs w:val="24"/>
        </w:rPr>
      </w:pPr>
      <w:r>
        <w:rPr>
          <w:rFonts w:hint="default" w:ascii="Times New Roman" w:hAnsi="Times New Roman" w:eastAsia="宋体" w:cs="Times New Roman"/>
          <w:bCs/>
          <w:color w:val="auto"/>
          <w:spacing w:val="8"/>
          <w:sz w:val="24"/>
          <w:szCs w:val="24"/>
        </w:rPr>
        <w:t>公司对以下非正式公告方式向外界传达的信息需由相关公司经办部门或人员提交证券事务部审核，并由董事会秘书审批后方可发布：</w:t>
      </w:r>
      <w:r>
        <w:rPr>
          <w:rFonts w:hint="default" w:ascii="Times New Roman" w:hAnsi="Times New Roman" w:eastAsia="宋体" w:cs="Times New Roman"/>
          <w:bCs/>
          <w:color w:val="auto"/>
          <w:spacing w:val="8"/>
          <w:sz w:val="24"/>
          <w:szCs w:val="24"/>
          <w:lang w:eastAsia="zh-CN"/>
        </w:rPr>
        <w:t>股东会</w:t>
      </w:r>
      <w:r>
        <w:rPr>
          <w:rFonts w:hint="default" w:ascii="Times New Roman" w:hAnsi="Times New Roman" w:eastAsia="宋体" w:cs="Times New Roman"/>
          <w:bCs/>
          <w:color w:val="auto"/>
          <w:spacing w:val="8"/>
          <w:sz w:val="24"/>
          <w:szCs w:val="24"/>
        </w:rPr>
        <w:t>、新闻发布会、产品推介会；公司或者相关个人接受媒体采访；直接或者间接向媒体发布新闻稿；公司（含子公司）网站与内部刊物；董事、高级管理人员微博、微信、博客等社交媒体；以书面或者口头方式与特定投资者、证券分析师沟通；公司其他各种形式的对外宣传、报告等；深圳证券交易所认定的其他形式。</w:t>
      </w:r>
    </w:p>
    <w:p w14:paraId="381E7AB1">
      <w:pPr>
        <w:spacing w:before="0" w:beforeLines="0" w:after="0" w:afterLines="0" w:line="360" w:lineRule="auto"/>
        <w:ind w:firstLine="512" w:firstLineChars="200"/>
        <w:jc w:val="both"/>
        <w:rPr>
          <w:rFonts w:hint="default" w:ascii="Times New Roman" w:hAnsi="Times New Roman" w:eastAsia="宋体" w:cs="Times New Roman"/>
          <w:bCs/>
          <w:color w:val="auto"/>
          <w:spacing w:val="8"/>
          <w:sz w:val="24"/>
          <w:szCs w:val="24"/>
        </w:rPr>
      </w:pPr>
      <w:r>
        <w:rPr>
          <w:rFonts w:hint="default" w:ascii="Times New Roman" w:hAnsi="Times New Roman" w:eastAsia="宋体" w:cs="Times New Roman"/>
          <w:bCs/>
          <w:color w:val="auto"/>
          <w:spacing w:val="8"/>
          <w:sz w:val="24"/>
          <w:szCs w:val="24"/>
        </w:rPr>
        <w:t>公司证券事务部对控股股东、实际控制人、董事、高级管理人员、其他核心人员以及其他信息披露义务人的网站、博客、微博、微信等媒体发布信息进行必要的关注、记录和引导，以防止泄露公司未公开重大信息。</w:t>
      </w:r>
    </w:p>
    <w:p w14:paraId="5A79CFB8">
      <w:pPr>
        <w:spacing w:before="0" w:beforeLines="0" w:after="0" w:afterLines="0" w:line="360" w:lineRule="auto"/>
        <w:ind w:firstLine="512" w:firstLineChars="200"/>
        <w:jc w:val="both"/>
        <w:rPr>
          <w:rFonts w:hint="default" w:ascii="Times New Roman" w:hAnsi="Times New Roman" w:eastAsia="宋体" w:cs="Times New Roman"/>
          <w:bCs/>
          <w:color w:val="auto"/>
          <w:spacing w:val="8"/>
          <w:sz w:val="24"/>
          <w:szCs w:val="24"/>
        </w:rPr>
      </w:pPr>
    </w:p>
    <w:p w14:paraId="3AE566D3">
      <w:pPr>
        <w:autoSpaceDE/>
        <w:autoSpaceDN/>
        <w:spacing w:before="0" w:beforeLines="0" w:after="0" w:afterLines="0" w:line="360" w:lineRule="auto"/>
        <w:ind w:left="0"/>
        <w:jc w:val="center"/>
        <w:outlineLvl w:val="1"/>
        <w:rPr>
          <w:rFonts w:hint="default" w:ascii="Times New Roman" w:hAnsi="Times New Roman" w:eastAsia="宋体" w:cs="Times New Roman"/>
          <w:b/>
          <w:bCs/>
          <w:color w:val="auto"/>
          <w:spacing w:val="0"/>
          <w:kern w:val="2"/>
          <w:sz w:val="24"/>
          <w:szCs w:val="24"/>
          <w:lang w:val="en-US" w:bidi="ar-SA"/>
        </w:rPr>
      </w:pPr>
      <w:r>
        <w:rPr>
          <w:rFonts w:hint="default" w:ascii="Times New Roman" w:hAnsi="Times New Roman" w:eastAsia="宋体" w:cs="Times New Roman"/>
          <w:b/>
          <w:bCs/>
          <w:color w:val="auto"/>
          <w:spacing w:val="0"/>
          <w:kern w:val="2"/>
          <w:sz w:val="24"/>
          <w:szCs w:val="24"/>
          <w:lang w:val="en-US" w:bidi="ar-SA"/>
        </w:rPr>
        <w:t>第六章 投资者关系管理的形式和要求</w:t>
      </w:r>
    </w:p>
    <w:p w14:paraId="13713290">
      <w:pPr>
        <w:numPr>
          <w:ilvl w:val="0"/>
          <w:numId w:val="1"/>
        </w:numPr>
        <w:spacing w:before="0" w:beforeLines="0" w:after="0" w:afterLines="0" w:line="360" w:lineRule="auto"/>
        <w:ind w:left="0" w:firstLine="512" w:firstLineChars="200"/>
        <w:jc w:val="both"/>
        <w:rPr>
          <w:rFonts w:hint="default" w:ascii="Times New Roman" w:hAnsi="Times New Roman" w:eastAsia="宋体" w:cs="Times New Roman"/>
          <w:bCs/>
          <w:color w:val="auto"/>
          <w:spacing w:val="8"/>
          <w:sz w:val="24"/>
          <w:szCs w:val="24"/>
        </w:rPr>
      </w:pPr>
      <w:r>
        <w:rPr>
          <w:rFonts w:hint="default" w:ascii="Times New Roman" w:hAnsi="Times New Roman" w:eastAsia="宋体" w:cs="Times New Roman"/>
          <w:bCs/>
          <w:color w:val="auto"/>
          <w:spacing w:val="8"/>
          <w:sz w:val="24"/>
          <w:szCs w:val="24"/>
        </w:rPr>
        <w:t>公司可以通过公司官方网站、深圳证券交易所网站和深圳证券交易所投资者关系互动平台（简称互动易平台）、新媒体平台、电话、传真、邮箱、投资者教育基地等方式，采取</w:t>
      </w:r>
      <w:r>
        <w:rPr>
          <w:rFonts w:hint="default" w:ascii="Times New Roman" w:hAnsi="Times New Roman" w:eastAsia="宋体" w:cs="Times New Roman"/>
          <w:bCs/>
          <w:color w:val="auto"/>
          <w:spacing w:val="8"/>
          <w:sz w:val="24"/>
          <w:szCs w:val="24"/>
          <w:lang w:eastAsia="zh-CN"/>
        </w:rPr>
        <w:t>股东会</w:t>
      </w:r>
      <w:r>
        <w:rPr>
          <w:rFonts w:hint="default" w:ascii="Times New Roman" w:hAnsi="Times New Roman" w:eastAsia="宋体" w:cs="Times New Roman"/>
          <w:bCs/>
          <w:color w:val="auto"/>
          <w:spacing w:val="8"/>
          <w:sz w:val="24"/>
          <w:szCs w:val="24"/>
        </w:rPr>
        <w:t>、投资者说明会、路演、投资者调研、证券分析师调研等形式，建立与投资者的重大事件沟通机制。</w:t>
      </w:r>
    </w:p>
    <w:p w14:paraId="29569EF8">
      <w:pPr>
        <w:numPr>
          <w:ilvl w:val="0"/>
          <w:numId w:val="1"/>
        </w:numPr>
        <w:spacing w:before="0" w:beforeLines="0" w:after="0" w:afterLines="0" w:line="360" w:lineRule="auto"/>
        <w:ind w:left="0" w:firstLine="512" w:firstLineChars="200"/>
        <w:jc w:val="both"/>
        <w:rPr>
          <w:rFonts w:hint="default" w:ascii="Times New Roman" w:hAnsi="Times New Roman" w:eastAsia="宋体" w:cs="Times New Roman"/>
          <w:bCs/>
          <w:color w:val="auto"/>
          <w:spacing w:val="8"/>
          <w:sz w:val="24"/>
          <w:szCs w:val="24"/>
        </w:rPr>
      </w:pPr>
      <w:r>
        <w:rPr>
          <w:rFonts w:hint="default" w:ascii="Times New Roman" w:hAnsi="Times New Roman" w:eastAsia="宋体" w:cs="Times New Roman"/>
          <w:bCs/>
          <w:color w:val="auto"/>
          <w:spacing w:val="8"/>
          <w:sz w:val="24"/>
          <w:szCs w:val="24"/>
        </w:rPr>
        <w:t>公司中小股东、机构投资者到公司现场参观、座谈沟通时，公司应当合理、妥善地安排参观及沟通过程，做好信息隔离，不得使来访者接触到未公开披露的重大信息。</w:t>
      </w:r>
    </w:p>
    <w:p w14:paraId="1DF78D68">
      <w:pPr>
        <w:numPr>
          <w:ilvl w:val="0"/>
          <w:numId w:val="1"/>
        </w:numPr>
        <w:spacing w:before="0" w:beforeLines="0" w:after="0" w:afterLines="0" w:line="360" w:lineRule="auto"/>
        <w:ind w:left="0" w:firstLine="512" w:firstLineChars="200"/>
        <w:jc w:val="both"/>
        <w:rPr>
          <w:rFonts w:hint="default" w:ascii="Times New Roman" w:hAnsi="Times New Roman" w:eastAsia="宋体" w:cs="Times New Roman"/>
          <w:bCs/>
          <w:color w:val="auto"/>
          <w:spacing w:val="8"/>
          <w:sz w:val="24"/>
          <w:szCs w:val="24"/>
        </w:rPr>
      </w:pPr>
      <w:r>
        <w:rPr>
          <w:rFonts w:hint="default" w:ascii="Times New Roman" w:hAnsi="Times New Roman" w:eastAsia="宋体" w:cs="Times New Roman"/>
          <w:bCs/>
          <w:color w:val="auto"/>
          <w:spacing w:val="8"/>
          <w:sz w:val="24"/>
          <w:szCs w:val="24"/>
        </w:rPr>
        <w:t>公司应当充分关注互动易平台信息以及各类媒体关于公司的报道，充分重视并依法履行相关信息和报道引发或者可能引发的信息披露义务。</w:t>
      </w:r>
    </w:p>
    <w:p w14:paraId="1FB33321">
      <w:pPr>
        <w:numPr>
          <w:ilvl w:val="0"/>
          <w:numId w:val="1"/>
        </w:numPr>
        <w:spacing w:before="0" w:beforeLines="0" w:after="0" w:afterLines="0" w:line="360" w:lineRule="auto"/>
        <w:ind w:left="0" w:firstLine="512" w:firstLineChars="200"/>
        <w:jc w:val="both"/>
        <w:rPr>
          <w:rFonts w:hint="default" w:ascii="Times New Roman" w:hAnsi="Times New Roman" w:eastAsia="宋体" w:cs="Times New Roman"/>
          <w:bCs/>
          <w:color w:val="auto"/>
          <w:spacing w:val="8"/>
          <w:sz w:val="24"/>
          <w:szCs w:val="24"/>
        </w:rPr>
      </w:pPr>
      <w:r>
        <w:rPr>
          <w:rFonts w:hint="default" w:ascii="Times New Roman" w:hAnsi="Times New Roman" w:eastAsia="宋体" w:cs="Times New Roman"/>
          <w:bCs/>
          <w:color w:val="auto"/>
          <w:spacing w:val="8"/>
          <w:sz w:val="24"/>
          <w:szCs w:val="24"/>
        </w:rPr>
        <w:t>公司在投资者说明会、业绩说明会、分析师会议、路演等投资者关系活动结束后应当及时编制投资者关系活动记录表，并及时在互动易平台刊载。活动记录表至少应当包括以下内容：</w:t>
      </w:r>
    </w:p>
    <w:p w14:paraId="266B8ED4">
      <w:pPr>
        <w:numPr>
          <w:ilvl w:val="0"/>
          <w:numId w:val="5"/>
        </w:numPr>
        <w:spacing w:before="0" w:beforeLines="0" w:after="0" w:afterLines="0" w:line="360" w:lineRule="auto"/>
        <w:ind w:left="0" w:firstLine="512" w:firstLineChars="200"/>
        <w:jc w:val="both"/>
        <w:rPr>
          <w:rFonts w:hint="default" w:ascii="Times New Roman" w:hAnsi="Times New Roman" w:eastAsia="宋体" w:cs="Times New Roman"/>
          <w:bCs/>
          <w:color w:val="auto"/>
          <w:spacing w:val="8"/>
          <w:sz w:val="24"/>
          <w:szCs w:val="24"/>
        </w:rPr>
      </w:pPr>
      <w:r>
        <w:rPr>
          <w:rFonts w:hint="default" w:ascii="Times New Roman" w:hAnsi="Times New Roman" w:eastAsia="宋体" w:cs="Times New Roman"/>
          <w:bCs/>
          <w:color w:val="auto"/>
          <w:spacing w:val="8"/>
          <w:sz w:val="24"/>
          <w:szCs w:val="24"/>
        </w:rPr>
        <w:t>活动参与人员、时间、地点、形式；</w:t>
      </w:r>
    </w:p>
    <w:p w14:paraId="78EFBFA9">
      <w:pPr>
        <w:numPr>
          <w:ilvl w:val="0"/>
          <w:numId w:val="5"/>
        </w:numPr>
        <w:spacing w:before="0" w:beforeLines="0" w:after="0" w:afterLines="0" w:line="360" w:lineRule="auto"/>
        <w:ind w:left="0" w:firstLine="512" w:firstLineChars="200"/>
        <w:jc w:val="both"/>
        <w:rPr>
          <w:rFonts w:hint="default" w:ascii="Times New Roman" w:hAnsi="Times New Roman" w:eastAsia="宋体" w:cs="Times New Roman"/>
          <w:bCs/>
          <w:color w:val="auto"/>
          <w:spacing w:val="8"/>
          <w:sz w:val="24"/>
          <w:szCs w:val="24"/>
        </w:rPr>
      </w:pPr>
      <w:r>
        <w:rPr>
          <w:rFonts w:hint="default" w:ascii="Times New Roman" w:hAnsi="Times New Roman" w:eastAsia="宋体" w:cs="Times New Roman"/>
          <w:bCs/>
          <w:color w:val="auto"/>
          <w:spacing w:val="8"/>
          <w:sz w:val="24"/>
          <w:szCs w:val="24"/>
        </w:rPr>
        <w:t>交流内容及具体问答记录；</w:t>
      </w:r>
    </w:p>
    <w:p w14:paraId="52F17BF0">
      <w:pPr>
        <w:numPr>
          <w:ilvl w:val="0"/>
          <w:numId w:val="5"/>
        </w:numPr>
        <w:spacing w:before="0" w:beforeLines="0" w:after="0" w:afterLines="0" w:line="360" w:lineRule="auto"/>
        <w:ind w:left="0" w:firstLine="512" w:firstLineChars="200"/>
        <w:jc w:val="both"/>
        <w:rPr>
          <w:rFonts w:hint="default" w:ascii="Times New Roman" w:hAnsi="Times New Roman" w:eastAsia="宋体" w:cs="Times New Roman"/>
          <w:bCs/>
          <w:color w:val="auto"/>
          <w:spacing w:val="8"/>
          <w:sz w:val="24"/>
          <w:szCs w:val="24"/>
        </w:rPr>
      </w:pPr>
      <w:r>
        <w:rPr>
          <w:rFonts w:hint="default" w:ascii="Times New Roman" w:hAnsi="Times New Roman" w:eastAsia="宋体" w:cs="Times New Roman"/>
          <w:bCs/>
          <w:color w:val="auto"/>
          <w:spacing w:val="8"/>
          <w:sz w:val="24"/>
          <w:szCs w:val="24"/>
        </w:rPr>
        <w:t>关于本次活动是否涉及应披露重大信息的说明；</w:t>
      </w:r>
    </w:p>
    <w:p w14:paraId="489BC796">
      <w:pPr>
        <w:numPr>
          <w:ilvl w:val="0"/>
          <w:numId w:val="5"/>
        </w:numPr>
        <w:spacing w:before="0" w:beforeLines="0" w:after="0" w:afterLines="0" w:line="360" w:lineRule="auto"/>
        <w:ind w:left="0" w:firstLine="512" w:firstLineChars="200"/>
        <w:jc w:val="both"/>
        <w:rPr>
          <w:rFonts w:hint="default" w:ascii="Times New Roman" w:hAnsi="Times New Roman" w:eastAsia="宋体" w:cs="Times New Roman"/>
          <w:bCs/>
          <w:color w:val="auto"/>
          <w:spacing w:val="8"/>
          <w:sz w:val="24"/>
          <w:szCs w:val="24"/>
        </w:rPr>
      </w:pPr>
      <w:r>
        <w:rPr>
          <w:rFonts w:hint="default" w:ascii="Times New Roman" w:hAnsi="Times New Roman" w:eastAsia="宋体" w:cs="Times New Roman"/>
          <w:bCs/>
          <w:color w:val="auto"/>
          <w:spacing w:val="8"/>
          <w:sz w:val="24"/>
          <w:szCs w:val="24"/>
        </w:rPr>
        <w:t>活动过程中所使用的演示文稿、提供的文档等附件（如有）；</w:t>
      </w:r>
    </w:p>
    <w:p w14:paraId="2B9D6480">
      <w:pPr>
        <w:numPr>
          <w:ilvl w:val="0"/>
          <w:numId w:val="5"/>
        </w:numPr>
        <w:spacing w:before="0" w:beforeLines="0" w:after="0" w:afterLines="0" w:line="360" w:lineRule="auto"/>
        <w:ind w:left="0" w:firstLine="512" w:firstLineChars="200"/>
        <w:jc w:val="both"/>
        <w:rPr>
          <w:rFonts w:hint="default" w:ascii="Times New Roman" w:hAnsi="Times New Roman" w:eastAsia="宋体" w:cs="Times New Roman"/>
          <w:bCs/>
          <w:color w:val="auto"/>
          <w:spacing w:val="8"/>
          <w:sz w:val="24"/>
          <w:szCs w:val="24"/>
        </w:rPr>
      </w:pPr>
      <w:r>
        <w:rPr>
          <w:rFonts w:hint="default" w:ascii="Times New Roman" w:hAnsi="Times New Roman" w:eastAsia="宋体" w:cs="Times New Roman"/>
          <w:bCs/>
          <w:color w:val="auto"/>
          <w:spacing w:val="8"/>
          <w:sz w:val="24"/>
          <w:szCs w:val="24"/>
        </w:rPr>
        <w:t>深圳证券交易所要求的其他内容。</w:t>
      </w:r>
    </w:p>
    <w:p w14:paraId="72D9EBA5">
      <w:pPr>
        <w:spacing w:before="0" w:beforeLines="0" w:after="0" w:afterLines="0" w:line="360" w:lineRule="auto"/>
        <w:ind w:left="496"/>
        <w:jc w:val="both"/>
        <w:rPr>
          <w:rFonts w:hint="default" w:ascii="Times New Roman" w:hAnsi="Times New Roman" w:eastAsia="宋体" w:cs="Times New Roman"/>
          <w:bCs/>
          <w:color w:val="auto"/>
          <w:spacing w:val="8"/>
          <w:sz w:val="24"/>
          <w:szCs w:val="24"/>
        </w:rPr>
      </w:pPr>
    </w:p>
    <w:p w14:paraId="1F3FDA33">
      <w:pPr>
        <w:autoSpaceDE/>
        <w:autoSpaceDN/>
        <w:spacing w:before="0" w:beforeLines="0" w:after="0" w:afterLines="0" w:line="360" w:lineRule="auto"/>
        <w:ind w:left="0"/>
        <w:jc w:val="center"/>
        <w:outlineLvl w:val="1"/>
        <w:rPr>
          <w:rFonts w:hint="default" w:ascii="Times New Roman" w:hAnsi="Times New Roman" w:eastAsia="宋体" w:cs="Times New Roman"/>
          <w:b/>
          <w:bCs/>
          <w:color w:val="auto"/>
          <w:spacing w:val="0"/>
          <w:kern w:val="2"/>
          <w:sz w:val="24"/>
          <w:szCs w:val="24"/>
          <w:lang w:val="en-US" w:bidi="ar-SA"/>
        </w:rPr>
      </w:pPr>
      <w:r>
        <w:rPr>
          <w:rFonts w:hint="default" w:ascii="Times New Roman" w:hAnsi="Times New Roman" w:eastAsia="宋体" w:cs="Times New Roman"/>
          <w:b/>
          <w:bCs/>
          <w:color w:val="auto"/>
          <w:spacing w:val="0"/>
          <w:kern w:val="2"/>
          <w:sz w:val="24"/>
          <w:szCs w:val="24"/>
          <w:lang w:val="en-US" w:bidi="ar-SA"/>
        </w:rPr>
        <w:t>第七章 投资者说明会</w:t>
      </w:r>
    </w:p>
    <w:p w14:paraId="3B4DC575">
      <w:pPr>
        <w:numPr>
          <w:ilvl w:val="0"/>
          <w:numId w:val="1"/>
        </w:numPr>
        <w:spacing w:before="0" w:beforeLines="0" w:after="0" w:afterLines="0" w:line="360" w:lineRule="auto"/>
        <w:ind w:left="0" w:firstLine="512" w:firstLineChars="200"/>
        <w:jc w:val="both"/>
        <w:rPr>
          <w:rFonts w:hint="default" w:ascii="Times New Roman" w:hAnsi="Times New Roman" w:eastAsia="宋体" w:cs="Times New Roman"/>
          <w:bCs/>
          <w:color w:val="auto"/>
          <w:spacing w:val="8"/>
          <w:sz w:val="24"/>
          <w:szCs w:val="24"/>
        </w:rPr>
      </w:pPr>
      <w:r>
        <w:rPr>
          <w:rFonts w:hint="default" w:ascii="Times New Roman" w:hAnsi="Times New Roman" w:eastAsia="宋体" w:cs="Times New Roman"/>
          <w:bCs/>
          <w:color w:val="auto"/>
          <w:spacing w:val="8"/>
          <w:sz w:val="24"/>
          <w:szCs w:val="24"/>
        </w:rPr>
        <w:t>公司可以召开投资者说明会，向投资者介绍情况、回答问题、听取建议。</w:t>
      </w:r>
    </w:p>
    <w:p w14:paraId="68F4DE3E">
      <w:pPr>
        <w:spacing w:before="0" w:beforeLines="0" w:after="0" w:afterLines="0" w:line="360" w:lineRule="auto"/>
        <w:ind w:firstLine="512" w:firstLineChars="200"/>
        <w:jc w:val="both"/>
        <w:rPr>
          <w:rFonts w:hint="default" w:ascii="Times New Roman" w:hAnsi="Times New Roman" w:eastAsia="宋体" w:cs="Times New Roman"/>
          <w:bCs/>
          <w:color w:val="auto"/>
          <w:spacing w:val="8"/>
          <w:sz w:val="24"/>
          <w:szCs w:val="24"/>
        </w:rPr>
      </w:pPr>
      <w:r>
        <w:rPr>
          <w:rFonts w:hint="default" w:ascii="Times New Roman" w:hAnsi="Times New Roman" w:eastAsia="宋体" w:cs="Times New Roman"/>
          <w:bCs/>
          <w:color w:val="auto"/>
          <w:spacing w:val="8"/>
          <w:sz w:val="24"/>
          <w:szCs w:val="24"/>
        </w:rPr>
        <w:t>公司相关重大事项受到市场高度关注或者质疑的，除按规定及时履行信息披露义务外，应当及时召开投资者说明会。</w:t>
      </w:r>
    </w:p>
    <w:p w14:paraId="02268F81">
      <w:pPr>
        <w:numPr>
          <w:ilvl w:val="0"/>
          <w:numId w:val="1"/>
        </w:numPr>
        <w:spacing w:before="0" w:beforeLines="0" w:after="0" w:afterLines="0" w:line="360" w:lineRule="auto"/>
        <w:ind w:left="0" w:firstLine="512" w:firstLineChars="200"/>
        <w:jc w:val="both"/>
        <w:rPr>
          <w:rFonts w:hint="default" w:ascii="Times New Roman" w:hAnsi="Times New Roman" w:eastAsia="宋体" w:cs="Times New Roman"/>
          <w:bCs/>
          <w:color w:val="auto"/>
          <w:spacing w:val="8"/>
          <w:sz w:val="24"/>
          <w:szCs w:val="24"/>
        </w:rPr>
      </w:pPr>
      <w:r>
        <w:rPr>
          <w:rFonts w:hint="default" w:ascii="Times New Roman" w:hAnsi="Times New Roman" w:eastAsia="宋体" w:cs="Times New Roman"/>
          <w:bCs/>
          <w:color w:val="auto"/>
          <w:spacing w:val="8"/>
          <w:sz w:val="24"/>
          <w:szCs w:val="24"/>
        </w:rPr>
        <w:t>公司召开投资者说明会的，应当采取便于投资者参与的方式进行。公司应当在投资者说明会召开前发布公告，说明投资者关系活动的时间、方式、地点、网址、公司出席人员名单和活动主题等。投资者说明会原则上应当安排在非交易时段召开。</w:t>
      </w:r>
    </w:p>
    <w:p w14:paraId="6A5D8E0B">
      <w:pPr>
        <w:spacing w:before="0" w:beforeLines="0" w:after="0" w:afterLines="0" w:line="360" w:lineRule="auto"/>
        <w:ind w:firstLine="512" w:firstLineChars="200"/>
        <w:jc w:val="both"/>
        <w:rPr>
          <w:rFonts w:hint="default" w:ascii="Times New Roman" w:hAnsi="Times New Roman" w:eastAsia="宋体" w:cs="Times New Roman"/>
          <w:bCs/>
          <w:color w:val="auto"/>
          <w:spacing w:val="8"/>
          <w:sz w:val="24"/>
          <w:szCs w:val="24"/>
        </w:rPr>
      </w:pPr>
      <w:r>
        <w:rPr>
          <w:rFonts w:hint="default" w:ascii="Times New Roman" w:hAnsi="Times New Roman" w:eastAsia="宋体" w:cs="Times New Roman"/>
          <w:bCs/>
          <w:color w:val="auto"/>
          <w:spacing w:val="8"/>
          <w:sz w:val="24"/>
          <w:szCs w:val="24"/>
        </w:rPr>
        <w:t>公司应当在投资者说明会召开前以及召开期间为投资者开通提问渠道，做好投资者提问征集工作，并在说明会上对投资者关注的问题予以答复。</w:t>
      </w:r>
    </w:p>
    <w:p w14:paraId="2FAF3FD1">
      <w:pPr>
        <w:numPr>
          <w:ilvl w:val="0"/>
          <w:numId w:val="1"/>
        </w:numPr>
        <w:spacing w:before="0" w:beforeLines="0" w:after="0" w:afterLines="0" w:line="360" w:lineRule="auto"/>
        <w:ind w:left="0" w:firstLine="512" w:firstLineChars="200"/>
        <w:jc w:val="both"/>
        <w:rPr>
          <w:rFonts w:hint="default" w:ascii="Times New Roman" w:hAnsi="Times New Roman" w:eastAsia="宋体" w:cs="Times New Roman"/>
          <w:bCs/>
          <w:color w:val="auto"/>
          <w:spacing w:val="8"/>
          <w:sz w:val="24"/>
          <w:szCs w:val="24"/>
        </w:rPr>
      </w:pPr>
      <w:r>
        <w:rPr>
          <w:rFonts w:hint="default" w:ascii="Times New Roman" w:hAnsi="Times New Roman" w:eastAsia="宋体" w:cs="Times New Roman"/>
          <w:bCs/>
          <w:color w:val="auto"/>
          <w:spacing w:val="8"/>
          <w:sz w:val="24"/>
          <w:szCs w:val="24"/>
        </w:rPr>
        <w:t>参与投资者说明会的公司人员应当包括公司董事长（或者总经理）、财务负责人、独立董事和董事会秘书。公司处于持续督导期内的，鼓励保荐代表人或独立财务顾问主办人参加。</w:t>
      </w:r>
    </w:p>
    <w:p w14:paraId="64C2B85B">
      <w:pPr>
        <w:numPr>
          <w:ilvl w:val="0"/>
          <w:numId w:val="1"/>
        </w:numPr>
        <w:spacing w:before="0" w:beforeLines="0" w:after="0" w:afterLines="0" w:line="360" w:lineRule="auto"/>
        <w:ind w:left="0" w:firstLine="512" w:firstLineChars="200"/>
        <w:jc w:val="both"/>
        <w:rPr>
          <w:rFonts w:hint="default" w:ascii="Times New Roman" w:hAnsi="Times New Roman" w:eastAsia="宋体" w:cs="Times New Roman"/>
          <w:bCs/>
          <w:color w:val="auto"/>
          <w:spacing w:val="8"/>
          <w:sz w:val="24"/>
          <w:szCs w:val="24"/>
        </w:rPr>
      </w:pPr>
      <w:r>
        <w:rPr>
          <w:rFonts w:hint="default" w:ascii="Times New Roman" w:hAnsi="Times New Roman" w:eastAsia="宋体" w:cs="Times New Roman"/>
          <w:bCs/>
          <w:color w:val="auto"/>
          <w:spacing w:val="8"/>
          <w:sz w:val="24"/>
          <w:szCs w:val="24"/>
        </w:rPr>
        <w:t>公司可以在年度报告披露后十五个交易日内举行年度报告业绩说明会，对公司所处行业状况、发展战略、生产经营、财务状况、分红情况、风险因素等投资者关心的内容进行说明。</w:t>
      </w:r>
    </w:p>
    <w:p w14:paraId="0AC00393">
      <w:pPr>
        <w:numPr>
          <w:ilvl w:val="0"/>
          <w:numId w:val="1"/>
        </w:numPr>
        <w:spacing w:before="0" w:beforeLines="0" w:after="0" w:afterLines="0" w:line="360" w:lineRule="auto"/>
        <w:ind w:left="0" w:firstLine="512" w:firstLineChars="200"/>
        <w:jc w:val="both"/>
        <w:rPr>
          <w:rFonts w:hint="default" w:ascii="Times New Roman" w:hAnsi="Times New Roman" w:eastAsia="宋体" w:cs="Times New Roman"/>
          <w:bCs/>
          <w:color w:val="auto"/>
          <w:spacing w:val="8"/>
          <w:sz w:val="24"/>
          <w:szCs w:val="24"/>
        </w:rPr>
      </w:pPr>
      <w:r>
        <w:rPr>
          <w:rFonts w:hint="default" w:ascii="Times New Roman" w:hAnsi="Times New Roman" w:eastAsia="宋体" w:cs="Times New Roman"/>
          <w:bCs/>
          <w:color w:val="auto"/>
          <w:spacing w:val="8"/>
          <w:sz w:val="24"/>
          <w:szCs w:val="24"/>
        </w:rPr>
        <w:t>公司</w:t>
      </w:r>
      <w:r>
        <w:rPr>
          <w:rFonts w:hint="default" w:ascii="Times New Roman" w:hAnsi="Times New Roman" w:eastAsia="宋体" w:cs="Times New Roman"/>
          <w:bCs/>
          <w:color w:val="auto"/>
          <w:spacing w:val="8"/>
          <w:sz w:val="24"/>
          <w:szCs w:val="24"/>
          <w:lang w:eastAsia="zh-CN"/>
        </w:rPr>
        <w:t>股东会</w:t>
      </w:r>
      <w:r>
        <w:rPr>
          <w:rFonts w:hint="default" w:ascii="Times New Roman" w:hAnsi="Times New Roman" w:eastAsia="宋体" w:cs="Times New Roman"/>
          <w:bCs/>
          <w:color w:val="auto"/>
          <w:spacing w:val="8"/>
          <w:sz w:val="24"/>
          <w:szCs w:val="24"/>
        </w:rPr>
        <w:t>对现金分红具体方案进行审议前，公司应当通过多种渠道主动与股东特别是中小股东进行沟通和交流，充分听取中小股东的意见和诉求，及时答复中小股东关心的问题。</w:t>
      </w:r>
    </w:p>
    <w:p w14:paraId="513D4ECD">
      <w:pPr>
        <w:numPr>
          <w:ilvl w:val="0"/>
          <w:numId w:val="1"/>
        </w:numPr>
        <w:spacing w:before="0" w:beforeLines="0" w:after="0" w:afterLines="0" w:line="360" w:lineRule="auto"/>
        <w:ind w:left="0" w:firstLine="512" w:firstLineChars="200"/>
        <w:jc w:val="both"/>
        <w:rPr>
          <w:rFonts w:hint="default" w:ascii="Times New Roman" w:hAnsi="Times New Roman" w:eastAsia="宋体" w:cs="Times New Roman"/>
          <w:bCs/>
          <w:color w:val="auto"/>
          <w:spacing w:val="8"/>
          <w:sz w:val="24"/>
          <w:szCs w:val="24"/>
        </w:rPr>
      </w:pPr>
      <w:r>
        <w:rPr>
          <w:rFonts w:hint="default" w:ascii="Times New Roman" w:hAnsi="Times New Roman" w:eastAsia="宋体" w:cs="Times New Roman"/>
          <w:bCs/>
          <w:color w:val="auto"/>
          <w:spacing w:val="8"/>
          <w:sz w:val="24"/>
          <w:szCs w:val="24"/>
        </w:rPr>
        <w:t>公司应当按照中国证监会、证券交易所的规定积极召开投资者说明会，向投资者介绍情况、回答问题、听取建议。一般情况下董事长或者总经理应当出席投资者说明会，不能出席的应当公开说明原因。公司召开投资者说明会应当事先公告，事后及时披露说明会情况。投资者说明会应当采取便于投资者参与的方式进行。</w:t>
      </w:r>
    </w:p>
    <w:p w14:paraId="4C09995D">
      <w:pPr>
        <w:numPr>
          <w:ilvl w:val="-1"/>
          <w:numId w:val="0"/>
        </w:numPr>
        <w:autoSpaceDE/>
        <w:autoSpaceDN/>
        <w:spacing w:before="0" w:beforeLines="0" w:after="0" w:afterLines="0" w:line="360" w:lineRule="auto"/>
        <w:ind w:left="0" w:leftChars="0" w:firstLine="512" w:firstLineChars="200"/>
        <w:jc w:val="both"/>
        <w:rPr>
          <w:rFonts w:hint="default" w:ascii="Times New Roman" w:hAnsi="Times New Roman" w:eastAsia="宋体" w:cs="Times New Roman"/>
          <w:bCs/>
          <w:color w:val="auto"/>
          <w:spacing w:val="8"/>
          <w:sz w:val="24"/>
          <w:szCs w:val="24"/>
        </w:rPr>
      </w:pPr>
      <w:r>
        <w:rPr>
          <w:rFonts w:hint="default" w:ascii="Times New Roman" w:hAnsi="Times New Roman" w:eastAsia="宋体" w:cs="Times New Roman"/>
          <w:bCs/>
          <w:color w:val="auto"/>
          <w:spacing w:val="8"/>
          <w:sz w:val="24"/>
          <w:szCs w:val="24"/>
        </w:rPr>
        <w:t>公司在年度报告披露后应当依规及时召开业绩说明会，对公司所处行业状况、发展战略、生产经营、财务状况、分红情况、风险与困难等投资者关心的内容进行说明。公司召开业绩说明会应当提前征集投资者提问，注重与投资者交流互动的效果。</w:t>
      </w:r>
    </w:p>
    <w:p w14:paraId="4B831191">
      <w:pPr>
        <w:numPr>
          <w:ilvl w:val="0"/>
          <w:numId w:val="1"/>
        </w:numPr>
        <w:spacing w:before="0" w:beforeLines="0" w:after="0" w:afterLines="0" w:line="360" w:lineRule="auto"/>
        <w:ind w:left="0" w:firstLine="512" w:firstLineChars="200"/>
        <w:jc w:val="both"/>
        <w:rPr>
          <w:rFonts w:hint="default" w:ascii="Times New Roman" w:hAnsi="Times New Roman" w:eastAsia="宋体" w:cs="Times New Roman"/>
          <w:bCs/>
          <w:color w:val="auto"/>
          <w:spacing w:val="8"/>
          <w:sz w:val="24"/>
          <w:szCs w:val="24"/>
        </w:rPr>
      </w:pPr>
      <w:r>
        <w:rPr>
          <w:rFonts w:hint="default" w:ascii="Times New Roman" w:hAnsi="Times New Roman" w:eastAsia="宋体" w:cs="Times New Roman"/>
          <w:bCs/>
          <w:color w:val="auto"/>
          <w:spacing w:val="8"/>
          <w:sz w:val="24"/>
          <w:szCs w:val="24"/>
        </w:rPr>
        <w:t>存在下列情形的，公司应当依规召开投资者说明会：</w:t>
      </w:r>
    </w:p>
    <w:p w14:paraId="24CE96E5">
      <w:pPr>
        <w:numPr>
          <w:ilvl w:val="-1"/>
          <w:numId w:val="0"/>
        </w:numPr>
        <w:autoSpaceDE/>
        <w:autoSpaceDN/>
        <w:spacing w:before="0" w:beforeLines="0" w:after="0" w:afterLines="0" w:line="360" w:lineRule="auto"/>
        <w:ind w:left="0" w:leftChars="0" w:firstLine="512" w:firstLineChars="200"/>
        <w:jc w:val="both"/>
        <w:rPr>
          <w:rFonts w:hint="default" w:ascii="Times New Roman" w:hAnsi="Times New Roman" w:eastAsia="宋体" w:cs="Times New Roman"/>
          <w:bCs/>
          <w:color w:val="auto"/>
          <w:spacing w:val="8"/>
          <w:sz w:val="24"/>
          <w:szCs w:val="24"/>
        </w:rPr>
      </w:pPr>
      <w:r>
        <w:rPr>
          <w:rFonts w:hint="default" w:ascii="Times New Roman" w:hAnsi="Times New Roman" w:eastAsia="宋体" w:cs="Times New Roman"/>
          <w:bCs/>
          <w:color w:val="auto"/>
          <w:spacing w:val="8"/>
          <w:sz w:val="24"/>
          <w:szCs w:val="24"/>
        </w:rPr>
        <w:t>（一）公司当年现金分红水平未达相关规定，需要说明原因；</w:t>
      </w:r>
    </w:p>
    <w:p w14:paraId="1C927A4B">
      <w:pPr>
        <w:numPr>
          <w:ilvl w:val="-1"/>
          <w:numId w:val="0"/>
        </w:numPr>
        <w:autoSpaceDE/>
        <w:autoSpaceDN/>
        <w:spacing w:before="0" w:beforeLines="0" w:after="0" w:afterLines="0" w:line="360" w:lineRule="auto"/>
        <w:ind w:left="0" w:leftChars="0" w:firstLine="512" w:firstLineChars="200"/>
        <w:jc w:val="both"/>
        <w:rPr>
          <w:rFonts w:hint="default" w:ascii="Times New Roman" w:hAnsi="Times New Roman" w:eastAsia="宋体" w:cs="Times New Roman"/>
          <w:bCs/>
          <w:color w:val="auto"/>
          <w:spacing w:val="8"/>
          <w:sz w:val="24"/>
          <w:szCs w:val="24"/>
        </w:rPr>
      </w:pPr>
      <w:r>
        <w:rPr>
          <w:rFonts w:hint="default" w:ascii="Times New Roman" w:hAnsi="Times New Roman" w:eastAsia="宋体" w:cs="Times New Roman"/>
          <w:bCs/>
          <w:color w:val="auto"/>
          <w:spacing w:val="8"/>
          <w:sz w:val="24"/>
          <w:szCs w:val="24"/>
        </w:rPr>
        <w:t>（二）公司在披露重组预案或重组报告书后终止重组；</w:t>
      </w:r>
    </w:p>
    <w:p w14:paraId="3629FD69">
      <w:pPr>
        <w:numPr>
          <w:ilvl w:val="-1"/>
          <w:numId w:val="0"/>
        </w:numPr>
        <w:autoSpaceDE/>
        <w:autoSpaceDN/>
        <w:spacing w:before="0" w:beforeLines="0" w:after="0" w:afterLines="0" w:line="360" w:lineRule="auto"/>
        <w:ind w:left="0" w:leftChars="0" w:firstLine="512" w:firstLineChars="200"/>
        <w:jc w:val="both"/>
        <w:rPr>
          <w:rFonts w:hint="default" w:ascii="Times New Roman" w:hAnsi="Times New Roman" w:eastAsia="宋体" w:cs="Times New Roman"/>
          <w:bCs/>
          <w:color w:val="auto"/>
          <w:spacing w:val="8"/>
          <w:sz w:val="24"/>
          <w:szCs w:val="24"/>
        </w:rPr>
      </w:pPr>
      <w:r>
        <w:rPr>
          <w:rFonts w:hint="default" w:ascii="Times New Roman" w:hAnsi="Times New Roman" w:eastAsia="宋体" w:cs="Times New Roman"/>
          <w:bCs/>
          <w:color w:val="auto"/>
          <w:spacing w:val="8"/>
          <w:sz w:val="24"/>
          <w:szCs w:val="24"/>
        </w:rPr>
        <w:t>（三）公司证券交易出现相关规则规定的异常波动，公司核查后发现存在未披露重大事件；</w:t>
      </w:r>
    </w:p>
    <w:p w14:paraId="66A160E9">
      <w:pPr>
        <w:numPr>
          <w:ilvl w:val="-1"/>
          <w:numId w:val="0"/>
        </w:numPr>
        <w:autoSpaceDE/>
        <w:autoSpaceDN/>
        <w:spacing w:before="0" w:beforeLines="0" w:after="0" w:afterLines="0" w:line="360" w:lineRule="auto"/>
        <w:ind w:left="0" w:leftChars="0" w:firstLine="512" w:firstLineChars="200"/>
        <w:jc w:val="both"/>
        <w:rPr>
          <w:rFonts w:hint="default" w:ascii="Times New Roman" w:hAnsi="Times New Roman" w:eastAsia="宋体" w:cs="Times New Roman"/>
          <w:bCs/>
          <w:color w:val="auto"/>
          <w:spacing w:val="8"/>
          <w:sz w:val="24"/>
          <w:szCs w:val="24"/>
        </w:rPr>
      </w:pPr>
      <w:r>
        <w:rPr>
          <w:rFonts w:hint="default" w:ascii="Times New Roman" w:hAnsi="Times New Roman" w:eastAsia="宋体" w:cs="Times New Roman"/>
          <w:bCs/>
          <w:color w:val="auto"/>
          <w:spacing w:val="8"/>
          <w:sz w:val="24"/>
          <w:szCs w:val="24"/>
        </w:rPr>
        <w:t>（四）公司相关重大事件受到市场高度关注或质疑；</w:t>
      </w:r>
    </w:p>
    <w:p w14:paraId="59CB11B2">
      <w:pPr>
        <w:numPr>
          <w:ilvl w:val="-1"/>
          <w:numId w:val="0"/>
        </w:numPr>
        <w:autoSpaceDE/>
        <w:autoSpaceDN/>
        <w:spacing w:before="0" w:beforeLines="0" w:after="0" w:afterLines="0" w:line="360" w:lineRule="auto"/>
        <w:ind w:left="0" w:leftChars="0" w:firstLine="512" w:firstLineChars="200"/>
        <w:jc w:val="both"/>
        <w:rPr>
          <w:rFonts w:hint="default" w:ascii="Times New Roman" w:hAnsi="Times New Roman" w:eastAsia="宋体" w:cs="Times New Roman"/>
          <w:bCs/>
          <w:color w:val="auto"/>
          <w:spacing w:val="8"/>
          <w:sz w:val="24"/>
          <w:szCs w:val="24"/>
        </w:rPr>
      </w:pPr>
      <w:r>
        <w:rPr>
          <w:rFonts w:hint="default" w:ascii="Times New Roman" w:hAnsi="Times New Roman" w:eastAsia="宋体" w:cs="Times New Roman"/>
          <w:bCs/>
          <w:color w:val="auto"/>
          <w:spacing w:val="8"/>
          <w:sz w:val="24"/>
          <w:szCs w:val="24"/>
        </w:rPr>
        <w:t>（五）其他按照中国证监会、证券交易所规定应当召开投资者说明会的情形。</w:t>
      </w:r>
    </w:p>
    <w:p w14:paraId="02C1577F">
      <w:pPr>
        <w:numPr>
          <w:ilvl w:val="0"/>
          <w:numId w:val="0"/>
        </w:numPr>
        <w:spacing w:before="0" w:beforeLines="0" w:after="0" w:afterLines="0" w:line="360" w:lineRule="auto"/>
        <w:ind w:left="496" w:firstLine="0" w:firstLineChars="0"/>
        <w:jc w:val="both"/>
        <w:rPr>
          <w:rFonts w:hint="default" w:ascii="Times New Roman" w:hAnsi="Times New Roman" w:eastAsia="宋体" w:cs="Times New Roman"/>
          <w:bCs/>
          <w:color w:val="auto"/>
          <w:spacing w:val="8"/>
          <w:sz w:val="24"/>
          <w:szCs w:val="24"/>
        </w:rPr>
      </w:pPr>
    </w:p>
    <w:p w14:paraId="13403114">
      <w:pPr>
        <w:autoSpaceDE/>
        <w:autoSpaceDN/>
        <w:spacing w:before="0" w:beforeLines="0" w:after="0" w:afterLines="0" w:line="360" w:lineRule="auto"/>
        <w:ind w:left="0"/>
        <w:jc w:val="center"/>
        <w:outlineLvl w:val="1"/>
        <w:rPr>
          <w:rFonts w:hint="default" w:ascii="Times New Roman" w:hAnsi="Times New Roman" w:eastAsia="宋体" w:cs="Times New Roman"/>
          <w:b/>
          <w:bCs/>
          <w:color w:val="auto"/>
          <w:spacing w:val="0"/>
          <w:kern w:val="2"/>
          <w:sz w:val="24"/>
          <w:szCs w:val="24"/>
          <w:lang w:val="en-US" w:bidi="ar-SA"/>
        </w:rPr>
      </w:pPr>
      <w:r>
        <w:rPr>
          <w:rFonts w:hint="default" w:ascii="Times New Roman" w:hAnsi="Times New Roman" w:eastAsia="宋体" w:cs="Times New Roman"/>
          <w:b/>
          <w:bCs/>
          <w:color w:val="auto"/>
          <w:spacing w:val="0"/>
          <w:kern w:val="2"/>
          <w:sz w:val="24"/>
          <w:szCs w:val="24"/>
          <w:lang w:val="en-US" w:bidi="ar-SA"/>
        </w:rPr>
        <w:t>第八章 公司接受调研</w:t>
      </w:r>
    </w:p>
    <w:p w14:paraId="4223192D">
      <w:pPr>
        <w:numPr>
          <w:ilvl w:val="0"/>
          <w:numId w:val="1"/>
        </w:numPr>
        <w:spacing w:before="0" w:beforeLines="0" w:after="0" w:afterLines="0" w:line="360" w:lineRule="auto"/>
        <w:ind w:left="0" w:firstLine="512" w:firstLineChars="200"/>
        <w:jc w:val="both"/>
        <w:rPr>
          <w:rFonts w:hint="default" w:ascii="Times New Roman" w:hAnsi="Times New Roman" w:eastAsia="宋体" w:cs="Times New Roman"/>
          <w:bCs/>
          <w:color w:val="auto"/>
          <w:spacing w:val="8"/>
          <w:sz w:val="24"/>
          <w:szCs w:val="24"/>
        </w:rPr>
      </w:pPr>
      <w:r>
        <w:rPr>
          <w:rFonts w:hint="default" w:ascii="Times New Roman" w:hAnsi="Times New Roman" w:eastAsia="宋体" w:cs="Times New Roman"/>
          <w:bCs/>
          <w:color w:val="auto"/>
          <w:spacing w:val="8"/>
          <w:sz w:val="24"/>
          <w:szCs w:val="24"/>
        </w:rPr>
        <w:t>公司接受从事证券分析、咨询及其他证券服务的机构及个人、从事证券投资的机构及个人（以下简称调研机构及个人）的调研时，应当妥善开展相关接待工作，并按规定履行相应的信息披露义务。</w:t>
      </w:r>
    </w:p>
    <w:p w14:paraId="6404B094">
      <w:pPr>
        <w:numPr>
          <w:ilvl w:val="0"/>
          <w:numId w:val="1"/>
        </w:numPr>
        <w:spacing w:before="0" w:beforeLines="0" w:after="0" w:afterLines="0" w:line="360" w:lineRule="auto"/>
        <w:ind w:left="0" w:firstLine="512" w:firstLineChars="200"/>
        <w:jc w:val="both"/>
        <w:rPr>
          <w:rFonts w:hint="default" w:ascii="Times New Roman" w:hAnsi="Times New Roman" w:eastAsia="宋体" w:cs="Times New Roman"/>
          <w:bCs/>
          <w:color w:val="auto"/>
          <w:spacing w:val="8"/>
          <w:sz w:val="24"/>
          <w:szCs w:val="24"/>
        </w:rPr>
      </w:pPr>
      <w:r>
        <w:rPr>
          <w:rFonts w:hint="default" w:ascii="Times New Roman" w:hAnsi="Times New Roman" w:eastAsia="宋体" w:cs="Times New Roman"/>
          <w:bCs/>
          <w:color w:val="auto"/>
          <w:spacing w:val="8"/>
          <w:sz w:val="24"/>
          <w:szCs w:val="24"/>
        </w:rPr>
        <w:t>公司、调研机构及人员不得利用调研活动从事市场操纵、内幕交易或者其他违法违规行为。</w:t>
      </w:r>
    </w:p>
    <w:p w14:paraId="6AD4DA82">
      <w:pPr>
        <w:numPr>
          <w:ilvl w:val="0"/>
          <w:numId w:val="1"/>
        </w:numPr>
        <w:spacing w:before="0" w:beforeLines="0" w:after="0" w:afterLines="0" w:line="360" w:lineRule="auto"/>
        <w:ind w:left="0" w:firstLine="512" w:firstLineChars="200"/>
        <w:jc w:val="both"/>
        <w:rPr>
          <w:rFonts w:hint="default" w:ascii="Times New Roman" w:hAnsi="Times New Roman" w:eastAsia="宋体" w:cs="Times New Roman"/>
          <w:bCs/>
          <w:color w:val="auto"/>
          <w:spacing w:val="8"/>
          <w:sz w:val="24"/>
          <w:szCs w:val="24"/>
        </w:rPr>
      </w:pPr>
      <w:r>
        <w:rPr>
          <w:rFonts w:hint="default" w:ascii="Times New Roman" w:hAnsi="Times New Roman" w:eastAsia="宋体" w:cs="Times New Roman"/>
          <w:bCs/>
          <w:color w:val="auto"/>
          <w:spacing w:val="8"/>
          <w:sz w:val="24"/>
          <w:szCs w:val="24"/>
        </w:rPr>
        <w:t>公司控股股东、实际控制人、董事、高级管理人员及其他员工在接受调研前，应当知会董事会秘书，原则上董事会秘书应当全程参加采访及调研。接受采访或者调研人员应当就调研过程和交流内容形成书面记录，与采访或者调研人员共同亲笔签字确认，董事会秘书应当签字确认。具备条件的，可以对调研过程进行录音录像。</w:t>
      </w:r>
    </w:p>
    <w:p w14:paraId="1FE92986">
      <w:pPr>
        <w:numPr>
          <w:ilvl w:val="0"/>
          <w:numId w:val="1"/>
        </w:numPr>
        <w:spacing w:before="0" w:beforeLines="0" w:after="0" w:afterLines="0" w:line="360" w:lineRule="auto"/>
        <w:ind w:left="0" w:firstLine="512" w:firstLineChars="200"/>
        <w:jc w:val="both"/>
        <w:rPr>
          <w:rFonts w:hint="default" w:ascii="Times New Roman" w:hAnsi="Times New Roman" w:eastAsia="宋体" w:cs="Times New Roman"/>
          <w:bCs/>
          <w:color w:val="auto"/>
          <w:spacing w:val="8"/>
          <w:sz w:val="24"/>
          <w:szCs w:val="24"/>
        </w:rPr>
      </w:pPr>
      <w:r>
        <w:rPr>
          <w:rFonts w:hint="default" w:ascii="Times New Roman" w:hAnsi="Times New Roman" w:eastAsia="宋体" w:cs="Times New Roman"/>
          <w:bCs/>
          <w:color w:val="auto"/>
          <w:spacing w:val="8"/>
          <w:sz w:val="24"/>
          <w:szCs w:val="24"/>
        </w:rPr>
        <w:t>公司与调研机构及个人进行直接沟通的，除应邀参加证券公司研究所等机构举办的投资策略分析会等情形外，应当要求调研机构及个人出具单位证明和身份证等资料，并要求其签署承诺书。</w:t>
      </w:r>
    </w:p>
    <w:p w14:paraId="35DCE16D">
      <w:pPr>
        <w:spacing w:before="0" w:beforeLines="0" w:after="0" w:afterLines="0" w:line="360" w:lineRule="auto"/>
        <w:ind w:left="0" w:firstLine="512" w:firstLineChars="200"/>
        <w:jc w:val="both"/>
        <w:rPr>
          <w:rFonts w:hint="default" w:ascii="Times New Roman" w:hAnsi="Times New Roman" w:eastAsia="宋体" w:cs="Times New Roman"/>
          <w:bCs/>
          <w:color w:val="auto"/>
          <w:spacing w:val="8"/>
          <w:sz w:val="24"/>
          <w:szCs w:val="24"/>
        </w:rPr>
      </w:pPr>
      <w:r>
        <w:rPr>
          <w:rFonts w:hint="default" w:ascii="Times New Roman" w:hAnsi="Times New Roman" w:eastAsia="宋体" w:cs="Times New Roman"/>
          <w:bCs/>
          <w:color w:val="auto"/>
          <w:spacing w:val="8"/>
          <w:sz w:val="24"/>
          <w:szCs w:val="24"/>
        </w:rPr>
        <w:t>承诺书至少应当包括以下内容：</w:t>
      </w:r>
    </w:p>
    <w:p w14:paraId="713BB59F">
      <w:pPr>
        <w:numPr>
          <w:ilvl w:val="0"/>
          <w:numId w:val="6"/>
        </w:numPr>
        <w:spacing w:before="0" w:beforeLines="0" w:after="0" w:afterLines="0" w:line="360" w:lineRule="auto"/>
        <w:ind w:firstLine="512" w:firstLineChars="200"/>
        <w:jc w:val="both"/>
        <w:rPr>
          <w:rFonts w:hint="default" w:ascii="Times New Roman" w:hAnsi="Times New Roman" w:eastAsia="宋体" w:cs="Times New Roman"/>
          <w:bCs/>
          <w:color w:val="auto"/>
          <w:spacing w:val="8"/>
          <w:sz w:val="24"/>
          <w:szCs w:val="24"/>
        </w:rPr>
      </w:pPr>
      <w:r>
        <w:rPr>
          <w:rFonts w:hint="default" w:ascii="Times New Roman" w:hAnsi="Times New Roman" w:eastAsia="宋体" w:cs="Times New Roman"/>
          <w:bCs/>
          <w:color w:val="auto"/>
          <w:spacing w:val="8"/>
          <w:sz w:val="24"/>
          <w:szCs w:val="24"/>
        </w:rPr>
        <w:t>不故意打探公司未公开重大信息，未经公司许可，不与公司指定人员以外的人员进行沟通或问询；</w:t>
      </w:r>
    </w:p>
    <w:p w14:paraId="7606FCEC">
      <w:pPr>
        <w:numPr>
          <w:ilvl w:val="0"/>
          <w:numId w:val="6"/>
        </w:numPr>
        <w:spacing w:before="0" w:beforeLines="0" w:after="0" w:afterLines="0" w:line="360" w:lineRule="auto"/>
        <w:ind w:firstLine="512" w:firstLineChars="200"/>
        <w:jc w:val="both"/>
        <w:rPr>
          <w:rFonts w:hint="default" w:ascii="Times New Roman" w:hAnsi="Times New Roman" w:eastAsia="宋体" w:cs="Times New Roman"/>
          <w:bCs/>
          <w:color w:val="auto"/>
          <w:spacing w:val="8"/>
          <w:sz w:val="24"/>
          <w:szCs w:val="24"/>
        </w:rPr>
      </w:pPr>
      <w:r>
        <w:rPr>
          <w:rFonts w:hint="default" w:ascii="Times New Roman" w:hAnsi="Times New Roman" w:eastAsia="宋体" w:cs="Times New Roman"/>
          <w:bCs/>
          <w:color w:val="auto"/>
          <w:spacing w:val="8"/>
          <w:sz w:val="24"/>
          <w:szCs w:val="24"/>
        </w:rPr>
        <w:t>不泄漏无意中获取的未公开重大信息，不利用所获取的未公开重大信息买卖或建议他人买卖公司股票及其衍生品；</w:t>
      </w:r>
    </w:p>
    <w:p w14:paraId="7D244D66">
      <w:pPr>
        <w:numPr>
          <w:ilvl w:val="0"/>
          <w:numId w:val="6"/>
        </w:numPr>
        <w:spacing w:before="0" w:beforeLines="0" w:after="0" w:afterLines="0" w:line="360" w:lineRule="auto"/>
        <w:ind w:firstLine="512" w:firstLineChars="200"/>
        <w:jc w:val="both"/>
        <w:rPr>
          <w:rFonts w:hint="default" w:ascii="Times New Roman" w:hAnsi="Times New Roman" w:eastAsia="宋体" w:cs="Times New Roman"/>
          <w:bCs/>
          <w:color w:val="auto"/>
          <w:spacing w:val="8"/>
          <w:sz w:val="24"/>
          <w:szCs w:val="24"/>
        </w:rPr>
      </w:pPr>
      <w:r>
        <w:rPr>
          <w:rFonts w:hint="default" w:ascii="Times New Roman" w:hAnsi="Times New Roman" w:eastAsia="宋体" w:cs="Times New Roman"/>
          <w:bCs/>
          <w:color w:val="auto"/>
          <w:spacing w:val="8"/>
          <w:sz w:val="24"/>
          <w:szCs w:val="24"/>
        </w:rPr>
        <w:t>在投资价值分析报告等研究报告、新闻稿等文件中不使用未公开重大信息，除非公司同时披露该信息；</w:t>
      </w:r>
    </w:p>
    <w:p w14:paraId="37AE7051">
      <w:pPr>
        <w:numPr>
          <w:ilvl w:val="0"/>
          <w:numId w:val="6"/>
        </w:numPr>
        <w:spacing w:before="0" w:beforeLines="0" w:after="0" w:afterLines="0" w:line="360" w:lineRule="auto"/>
        <w:ind w:firstLine="512" w:firstLineChars="200"/>
        <w:jc w:val="both"/>
        <w:rPr>
          <w:rFonts w:hint="default" w:ascii="Times New Roman" w:hAnsi="Times New Roman" w:eastAsia="宋体" w:cs="Times New Roman"/>
          <w:bCs/>
          <w:color w:val="auto"/>
          <w:spacing w:val="8"/>
          <w:sz w:val="24"/>
          <w:szCs w:val="24"/>
        </w:rPr>
      </w:pPr>
      <w:r>
        <w:rPr>
          <w:rFonts w:hint="default" w:ascii="Times New Roman" w:hAnsi="Times New Roman" w:eastAsia="宋体" w:cs="Times New Roman"/>
          <w:bCs/>
          <w:color w:val="auto"/>
          <w:spacing w:val="8"/>
          <w:sz w:val="24"/>
          <w:szCs w:val="24"/>
        </w:rPr>
        <w:t>在投资价值分析报告等研究报告中涉及盈利预测和股价预测的，注明资料来源，不使用主观臆断、缺乏事实根据的资料；</w:t>
      </w:r>
    </w:p>
    <w:p w14:paraId="457AE59D">
      <w:pPr>
        <w:numPr>
          <w:ilvl w:val="0"/>
          <w:numId w:val="6"/>
        </w:numPr>
        <w:spacing w:before="0" w:beforeLines="0" w:after="0" w:afterLines="0" w:line="360" w:lineRule="auto"/>
        <w:ind w:firstLine="512" w:firstLineChars="200"/>
        <w:jc w:val="both"/>
        <w:rPr>
          <w:rFonts w:hint="default" w:ascii="Times New Roman" w:hAnsi="Times New Roman" w:eastAsia="宋体" w:cs="Times New Roman"/>
          <w:bCs/>
          <w:color w:val="auto"/>
          <w:spacing w:val="8"/>
          <w:sz w:val="24"/>
          <w:szCs w:val="24"/>
        </w:rPr>
      </w:pPr>
      <w:r>
        <w:rPr>
          <w:rFonts w:hint="default" w:ascii="Times New Roman" w:hAnsi="Times New Roman" w:eastAsia="宋体" w:cs="Times New Roman"/>
          <w:bCs/>
          <w:color w:val="auto"/>
          <w:spacing w:val="8"/>
          <w:sz w:val="24"/>
          <w:szCs w:val="24"/>
        </w:rPr>
        <w:t>在投资价值分析报告等研究报告、新闻稿等文件对外发布或使用前知会公司；</w:t>
      </w:r>
    </w:p>
    <w:p w14:paraId="7144AEC8">
      <w:pPr>
        <w:numPr>
          <w:ilvl w:val="0"/>
          <w:numId w:val="6"/>
        </w:numPr>
        <w:spacing w:before="0" w:beforeLines="0" w:after="0" w:afterLines="0" w:line="360" w:lineRule="auto"/>
        <w:ind w:left="0" w:firstLine="512" w:firstLineChars="200"/>
        <w:jc w:val="both"/>
        <w:rPr>
          <w:rFonts w:hint="default" w:ascii="Times New Roman" w:hAnsi="Times New Roman" w:eastAsia="宋体" w:cs="Times New Roman"/>
          <w:bCs/>
          <w:color w:val="auto"/>
          <w:spacing w:val="8"/>
          <w:sz w:val="24"/>
          <w:szCs w:val="24"/>
        </w:rPr>
      </w:pPr>
      <w:r>
        <w:rPr>
          <w:rFonts w:hint="default" w:ascii="Times New Roman" w:hAnsi="Times New Roman" w:eastAsia="宋体" w:cs="Times New Roman"/>
          <w:bCs/>
          <w:color w:val="auto"/>
          <w:spacing w:val="8"/>
          <w:sz w:val="24"/>
          <w:szCs w:val="24"/>
        </w:rPr>
        <w:t>明确违反承诺的责任。</w:t>
      </w:r>
    </w:p>
    <w:p w14:paraId="59AB3501">
      <w:pPr>
        <w:numPr>
          <w:ilvl w:val="0"/>
          <w:numId w:val="1"/>
        </w:numPr>
        <w:spacing w:before="0" w:beforeLines="0" w:after="0" w:afterLines="0" w:line="360" w:lineRule="auto"/>
        <w:ind w:left="0" w:firstLine="512" w:firstLineChars="200"/>
        <w:jc w:val="both"/>
        <w:rPr>
          <w:rFonts w:hint="default" w:ascii="Times New Roman" w:hAnsi="Times New Roman" w:eastAsia="宋体" w:cs="Times New Roman"/>
          <w:bCs/>
          <w:color w:val="auto"/>
          <w:spacing w:val="8"/>
          <w:sz w:val="24"/>
          <w:szCs w:val="24"/>
        </w:rPr>
      </w:pPr>
      <w:r>
        <w:rPr>
          <w:rFonts w:hint="default" w:ascii="Times New Roman" w:hAnsi="Times New Roman" w:eastAsia="宋体" w:cs="Times New Roman"/>
          <w:bCs/>
          <w:color w:val="auto"/>
          <w:spacing w:val="8"/>
          <w:sz w:val="24"/>
          <w:szCs w:val="24"/>
        </w:rPr>
        <w:t>公司接受调研后，要求调研机构及个人将基于交流沟通形成的投资价值分析报告等研究报告、新闻稿等文件在发布或者使用前知会公司。</w:t>
      </w:r>
    </w:p>
    <w:p w14:paraId="03438119">
      <w:pPr>
        <w:spacing w:before="0" w:beforeLines="0" w:after="0" w:afterLines="0" w:line="360" w:lineRule="auto"/>
        <w:ind w:firstLine="512" w:firstLineChars="200"/>
        <w:jc w:val="both"/>
        <w:rPr>
          <w:rFonts w:hint="default" w:ascii="Times New Roman" w:hAnsi="Times New Roman" w:eastAsia="宋体" w:cs="Times New Roman"/>
          <w:bCs/>
          <w:color w:val="auto"/>
          <w:spacing w:val="8"/>
          <w:sz w:val="24"/>
          <w:szCs w:val="24"/>
        </w:rPr>
      </w:pPr>
      <w:r>
        <w:rPr>
          <w:rFonts w:hint="default" w:ascii="Times New Roman" w:hAnsi="Times New Roman" w:eastAsia="宋体" w:cs="Times New Roman"/>
          <w:bCs/>
          <w:color w:val="auto"/>
          <w:spacing w:val="8"/>
          <w:sz w:val="24"/>
          <w:szCs w:val="24"/>
        </w:rPr>
        <w:t>公司在核查中发现前条所述文件存在错误、误导性记载的，应当要求其改正，对方拒不改正的，公司应当及时对外公告进行说明；发现前述文件涉及未公开重大信息的，应当立即向深圳证券交易所报告并公告，同时要求调研机构及个人在公司正式公告前不得对外泄露该信息，并明确告知其在此期间不得买卖或者建议他人买卖公司股票及其衍生品种。</w:t>
      </w:r>
    </w:p>
    <w:p w14:paraId="4A919A9C">
      <w:pPr>
        <w:numPr>
          <w:ilvl w:val="0"/>
          <w:numId w:val="1"/>
        </w:numPr>
        <w:spacing w:before="0" w:beforeLines="0" w:after="0" w:afterLines="0" w:line="360" w:lineRule="auto"/>
        <w:ind w:left="0" w:firstLine="512" w:firstLineChars="200"/>
        <w:jc w:val="both"/>
        <w:rPr>
          <w:rFonts w:hint="default" w:ascii="Times New Roman" w:hAnsi="Times New Roman" w:eastAsia="宋体" w:cs="Times New Roman"/>
          <w:bCs/>
          <w:color w:val="auto"/>
          <w:spacing w:val="8"/>
          <w:sz w:val="24"/>
          <w:szCs w:val="24"/>
        </w:rPr>
      </w:pPr>
      <w:r>
        <w:rPr>
          <w:rFonts w:hint="default" w:ascii="Times New Roman" w:hAnsi="Times New Roman" w:eastAsia="宋体" w:cs="Times New Roman"/>
          <w:bCs/>
          <w:color w:val="auto"/>
          <w:spacing w:val="8"/>
          <w:sz w:val="24"/>
          <w:szCs w:val="24"/>
        </w:rPr>
        <w:t>公司接受新闻媒体及其他机构或者个人调研或采访，参照本章规定执行。</w:t>
      </w:r>
    </w:p>
    <w:p w14:paraId="16709571">
      <w:pPr>
        <w:spacing w:before="0" w:beforeLines="0" w:after="0" w:afterLines="0" w:line="360" w:lineRule="auto"/>
        <w:ind w:firstLine="512" w:firstLineChars="200"/>
        <w:jc w:val="both"/>
        <w:rPr>
          <w:rFonts w:hint="default" w:ascii="Times New Roman" w:hAnsi="Times New Roman" w:eastAsia="宋体" w:cs="Times New Roman"/>
          <w:bCs/>
          <w:color w:val="auto"/>
          <w:spacing w:val="8"/>
          <w:sz w:val="24"/>
          <w:szCs w:val="24"/>
        </w:rPr>
      </w:pPr>
      <w:r>
        <w:rPr>
          <w:rFonts w:hint="default" w:ascii="Times New Roman" w:hAnsi="Times New Roman" w:eastAsia="宋体" w:cs="Times New Roman"/>
          <w:bCs/>
          <w:color w:val="auto"/>
          <w:spacing w:val="8"/>
          <w:sz w:val="24"/>
          <w:szCs w:val="24"/>
        </w:rPr>
        <w:t>公司控股股东、实际控制人接受与公司相关的调研或采访，参照本章规定执行。</w:t>
      </w:r>
    </w:p>
    <w:p w14:paraId="3A9AD086">
      <w:pPr>
        <w:spacing w:before="0" w:beforeLines="0" w:after="0" w:afterLines="0" w:line="360" w:lineRule="auto"/>
        <w:ind w:firstLine="512" w:firstLineChars="200"/>
        <w:jc w:val="both"/>
        <w:rPr>
          <w:rFonts w:hint="default" w:ascii="Times New Roman" w:hAnsi="Times New Roman" w:eastAsia="宋体" w:cs="Times New Roman"/>
          <w:bCs/>
          <w:color w:val="auto"/>
          <w:spacing w:val="8"/>
          <w:sz w:val="24"/>
          <w:szCs w:val="24"/>
        </w:rPr>
      </w:pPr>
    </w:p>
    <w:p w14:paraId="125FA896">
      <w:pPr>
        <w:autoSpaceDE/>
        <w:autoSpaceDN/>
        <w:spacing w:before="0" w:beforeLines="0" w:after="0" w:afterLines="0" w:line="360" w:lineRule="auto"/>
        <w:ind w:left="0"/>
        <w:jc w:val="center"/>
        <w:outlineLvl w:val="1"/>
        <w:rPr>
          <w:rFonts w:hint="default" w:ascii="Times New Roman" w:hAnsi="Times New Roman" w:eastAsia="宋体" w:cs="Times New Roman"/>
          <w:b/>
          <w:bCs/>
          <w:color w:val="auto"/>
          <w:spacing w:val="0"/>
          <w:kern w:val="2"/>
          <w:sz w:val="24"/>
          <w:szCs w:val="24"/>
          <w:lang w:val="en-US" w:bidi="ar-SA"/>
        </w:rPr>
      </w:pPr>
      <w:r>
        <w:rPr>
          <w:rFonts w:hint="default" w:ascii="Times New Roman" w:hAnsi="Times New Roman" w:eastAsia="宋体" w:cs="Times New Roman"/>
          <w:b/>
          <w:bCs/>
          <w:color w:val="auto"/>
          <w:spacing w:val="0"/>
          <w:kern w:val="2"/>
          <w:sz w:val="24"/>
          <w:szCs w:val="24"/>
          <w:lang w:val="en-US" w:bidi="ar-SA"/>
        </w:rPr>
        <w:t>第九章 互动易平台</w:t>
      </w:r>
    </w:p>
    <w:p w14:paraId="263F719E">
      <w:pPr>
        <w:numPr>
          <w:ilvl w:val="0"/>
          <w:numId w:val="1"/>
        </w:numPr>
        <w:spacing w:before="0" w:beforeLines="0" w:after="0" w:afterLines="0" w:line="360" w:lineRule="auto"/>
        <w:ind w:left="0" w:firstLine="512" w:firstLineChars="200"/>
        <w:jc w:val="both"/>
        <w:rPr>
          <w:rFonts w:hint="default" w:ascii="Times New Roman" w:hAnsi="Times New Roman" w:eastAsia="宋体" w:cs="Times New Roman"/>
          <w:bCs/>
          <w:color w:val="auto"/>
          <w:spacing w:val="8"/>
          <w:sz w:val="24"/>
          <w:szCs w:val="24"/>
        </w:rPr>
      </w:pPr>
      <w:r>
        <w:rPr>
          <w:rFonts w:hint="default" w:ascii="Times New Roman" w:hAnsi="Times New Roman" w:eastAsia="宋体" w:cs="Times New Roman"/>
          <w:bCs/>
          <w:color w:val="auto"/>
          <w:spacing w:val="8"/>
          <w:sz w:val="24"/>
          <w:szCs w:val="24"/>
        </w:rPr>
        <w:t>公司应当通过互动易平台等多种渠道与投资者进行交流，指派或者授权董事会秘书和证券事务代表及时查看并处理互动易平台的相关信息。公司应当就投资者对已披露信息的提问进行充分、深入、详细地分析、说明和答复。</w:t>
      </w:r>
      <w:r>
        <w:rPr>
          <w:rFonts w:hint="default" w:ascii="Times New Roman" w:hAnsi="Times New Roman" w:eastAsia="宋体" w:cs="Times New Roman"/>
          <w:bCs/>
          <w:color w:val="auto"/>
          <w:spacing w:val="8"/>
          <w:sz w:val="24"/>
          <w:szCs w:val="24"/>
          <w:lang w:val="en-US" w:eastAsia="zh-CN"/>
        </w:rPr>
        <w:t>公司在互动易平台发布信息及回复投资者提问，应当注重诚信，尊重平等对待所有投资者，主动加强与投资者的沟通，增进投资者对公司的了解和认同，营造良好的市场生态。</w:t>
      </w:r>
    </w:p>
    <w:p w14:paraId="6789B396">
      <w:pPr>
        <w:spacing w:before="0" w:beforeLines="0" w:after="0" w:afterLines="0" w:line="360" w:lineRule="auto"/>
        <w:ind w:firstLine="512" w:firstLineChars="200"/>
        <w:jc w:val="both"/>
        <w:rPr>
          <w:rFonts w:hint="default" w:ascii="Times New Roman" w:hAnsi="Times New Roman" w:eastAsia="宋体" w:cs="Times New Roman"/>
          <w:bCs/>
          <w:color w:val="auto"/>
          <w:spacing w:val="8"/>
          <w:sz w:val="24"/>
          <w:szCs w:val="24"/>
        </w:rPr>
      </w:pPr>
      <w:r>
        <w:rPr>
          <w:rFonts w:hint="default" w:ascii="Times New Roman" w:hAnsi="Times New Roman" w:eastAsia="宋体" w:cs="Times New Roman"/>
          <w:bCs/>
          <w:color w:val="auto"/>
          <w:spacing w:val="8"/>
          <w:sz w:val="24"/>
          <w:szCs w:val="24"/>
          <w:lang w:val="en-US" w:eastAsia="zh-CN"/>
        </w:rPr>
        <w:t>公司在互动易平台发布信息或回复投资者提问</w:t>
      </w:r>
      <w:r>
        <w:rPr>
          <w:rFonts w:hint="eastAsia" w:ascii="Times New Roman" w:hAnsi="Times New Roman" w:cs="Times New Roman"/>
          <w:bCs/>
          <w:color w:val="auto"/>
          <w:spacing w:val="8"/>
          <w:sz w:val="24"/>
          <w:szCs w:val="24"/>
          <w:lang w:val="en-US" w:eastAsia="zh-CN"/>
        </w:rPr>
        <w:t>时</w:t>
      </w:r>
      <w:r>
        <w:rPr>
          <w:rFonts w:hint="default" w:ascii="Times New Roman" w:hAnsi="Times New Roman" w:eastAsia="宋体" w:cs="Times New Roman"/>
          <w:bCs/>
          <w:color w:val="auto"/>
          <w:spacing w:val="8"/>
          <w:sz w:val="24"/>
          <w:szCs w:val="24"/>
          <w:lang w:val="en-US" w:eastAsia="zh-CN"/>
        </w:rPr>
        <w:t>，应当保证发布信息及及时回复投资者提问的公平性，对所有依法合规提出的问题认真、及时予以回复，不得选择性发布信息或者回复投资者提问。</w:t>
      </w:r>
      <w:r>
        <w:rPr>
          <w:rFonts w:hint="default" w:ascii="Times New Roman" w:hAnsi="Times New Roman" w:eastAsia="宋体" w:cs="Times New Roman"/>
          <w:bCs/>
          <w:color w:val="auto"/>
          <w:spacing w:val="8"/>
          <w:sz w:val="24"/>
          <w:szCs w:val="24"/>
        </w:rPr>
        <w:t>对于重要或者</w:t>
      </w:r>
      <w:r>
        <w:rPr>
          <w:rFonts w:hint="eastAsia" w:ascii="Times New Roman" w:hAnsi="Times New Roman" w:cs="Times New Roman"/>
          <w:bCs/>
          <w:color w:val="auto"/>
          <w:spacing w:val="8"/>
          <w:sz w:val="24"/>
          <w:szCs w:val="24"/>
          <w:lang w:eastAsia="zh-CN"/>
        </w:rPr>
        <w:t>具有</w:t>
      </w:r>
      <w:r>
        <w:rPr>
          <w:rFonts w:hint="default" w:ascii="Times New Roman" w:hAnsi="Times New Roman" w:eastAsia="宋体" w:cs="Times New Roman"/>
          <w:bCs/>
          <w:color w:val="auto"/>
          <w:spacing w:val="8"/>
          <w:sz w:val="24"/>
          <w:szCs w:val="24"/>
        </w:rPr>
        <w:t>普遍性的问题及答复，公司应当加以整理并在互动易平台以显著方式刊载。</w:t>
      </w:r>
    </w:p>
    <w:p w14:paraId="0609DE16">
      <w:pPr>
        <w:spacing w:before="0" w:beforeLines="0" w:after="0" w:afterLines="0" w:line="360" w:lineRule="auto"/>
        <w:ind w:firstLine="512" w:firstLineChars="200"/>
        <w:jc w:val="both"/>
        <w:rPr>
          <w:rFonts w:hint="default" w:ascii="Times New Roman" w:hAnsi="Times New Roman" w:eastAsia="宋体" w:cs="Times New Roman"/>
          <w:bCs/>
          <w:color w:val="auto"/>
          <w:spacing w:val="8"/>
          <w:sz w:val="24"/>
          <w:szCs w:val="24"/>
        </w:rPr>
      </w:pPr>
      <w:r>
        <w:rPr>
          <w:rFonts w:hint="default" w:ascii="Times New Roman" w:hAnsi="Times New Roman" w:eastAsia="宋体" w:cs="Times New Roman"/>
          <w:bCs/>
          <w:color w:val="auto"/>
          <w:spacing w:val="8"/>
          <w:sz w:val="24"/>
          <w:szCs w:val="24"/>
        </w:rPr>
        <w:t>公司在互动易平台刊载信息或者答复投资者提问等行为不能替代应尽的信息披露义务，公司不得在互动易平台就涉及或者可能涉及未公开重大信息的投资者提问进行回答。</w:t>
      </w:r>
    </w:p>
    <w:p w14:paraId="7418655B">
      <w:pPr>
        <w:numPr>
          <w:ilvl w:val="0"/>
          <w:numId w:val="1"/>
        </w:numPr>
        <w:spacing w:before="0" w:beforeLines="0" w:after="0" w:afterLines="0" w:line="360" w:lineRule="auto"/>
        <w:ind w:left="0" w:firstLine="512" w:firstLineChars="200"/>
        <w:jc w:val="both"/>
        <w:rPr>
          <w:rFonts w:hint="default" w:ascii="Times New Roman" w:hAnsi="Times New Roman" w:eastAsia="宋体" w:cs="Times New Roman"/>
          <w:bCs/>
          <w:color w:val="auto"/>
          <w:spacing w:val="8"/>
          <w:sz w:val="24"/>
          <w:szCs w:val="24"/>
        </w:rPr>
      </w:pPr>
      <w:r>
        <w:rPr>
          <w:rFonts w:hint="default" w:ascii="Times New Roman" w:hAnsi="Times New Roman" w:eastAsia="宋体" w:cs="Times New Roman"/>
          <w:bCs/>
          <w:color w:val="auto"/>
          <w:spacing w:val="8"/>
          <w:sz w:val="24"/>
          <w:szCs w:val="24"/>
        </w:rPr>
        <w:t>公司在互动易平台发布信息</w:t>
      </w:r>
      <w:r>
        <w:rPr>
          <w:rFonts w:hint="default" w:ascii="Times New Roman" w:hAnsi="Times New Roman" w:eastAsia="宋体" w:cs="Times New Roman"/>
          <w:color w:val="auto"/>
          <w:sz w:val="24"/>
          <w:szCs w:val="24"/>
        </w:rPr>
        <w:t>或者回复投资者提问的</w:t>
      </w:r>
      <w:r>
        <w:rPr>
          <w:rFonts w:hint="default" w:ascii="Times New Roman" w:hAnsi="Times New Roman" w:eastAsia="宋体" w:cs="Times New Roman"/>
          <w:bCs/>
          <w:color w:val="auto"/>
          <w:spacing w:val="8"/>
          <w:sz w:val="24"/>
          <w:szCs w:val="24"/>
        </w:rPr>
        <w:t>，应当谨慎、</w:t>
      </w:r>
      <w:r>
        <w:rPr>
          <w:rFonts w:hint="default" w:ascii="Times New Roman" w:hAnsi="Times New Roman" w:eastAsia="宋体" w:cs="Times New Roman"/>
          <w:bCs/>
          <w:color w:val="auto"/>
          <w:spacing w:val="8"/>
          <w:sz w:val="24"/>
          <w:szCs w:val="24"/>
          <w:lang w:val="en-US" w:eastAsia="zh-CN"/>
        </w:rPr>
        <w:t>理性、</w:t>
      </w:r>
      <w:r>
        <w:rPr>
          <w:rFonts w:hint="default" w:ascii="Times New Roman" w:hAnsi="Times New Roman" w:eastAsia="宋体" w:cs="Times New Roman"/>
          <w:bCs/>
          <w:color w:val="auto"/>
          <w:spacing w:val="8"/>
          <w:sz w:val="24"/>
          <w:szCs w:val="24"/>
        </w:rPr>
        <w:t>客观、以事实为依据，保证所发布信息的真实、准确、完整和公平，不得使用夸大性、宣传性、误导性语言，应当注重与投资者交流互动的效果</w:t>
      </w:r>
      <w:r>
        <w:rPr>
          <w:rFonts w:hint="default" w:ascii="Times New Roman" w:hAnsi="Times New Roman" w:eastAsia="宋体" w:cs="Times New Roman"/>
          <w:bCs/>
          <w:color w:val="auto"/>
          <w:spacing w:val="8"/>
          <w:sz w:val="24"/>
          <w:szCs w:val="24"/>
          <w:lang w:eastAsia="zh-CN"/>
        </w:rPr>
        <w:t>，</w:t>
      </w:r>
      <w:r>
        <w:rPr>
          <w:rFonts w:hint="default" w:ascii="Times New Roman" w:hAnsi="Times New Roman" w:eastAsia="宋体" w:cs="Times New Roman"/>
          <w:bCs/>
          <w:color w:val="auto"/>
          <w:spacing w:val="8"/>
          <w:sz w:val="24"/>
          <w:szCs w:val="24"/>
        </w:rPr>
        <w:t>不得误导投资者</w:t>
      </w:r>
      <w:r>
        <w:rPr>
          <w:rFonts w:hint="default" w:ascii="Times New Roman" w:hAnsi="Times New Roman" w:eastAsia="宋体" w:cs="Times New Roman"/>
          <w:bCs/>
          <w:color w:val="auto"/>
          <w:spacing w:val="8"/>
          <w:sz w:val="24"/>
          <w:szCs w:val="24"/>
          <w:lang w:eastAsia="zh-CN"/>
        </w:rPr>
        <w:t>。</w:t>
      </w:r>
      <w:r>
        <w:rPr>
          <w:rFonts w:hint="default" w:ascii="Times New Roman" w:hAnsi="Times New Roman" w:eastAsia="宋体" w:cs="Times New Roman"/>
          <w:bCs/>
          <w:color w:val="auto"/>
          <w:spacing w:val="8"/>
          <w:sz w:val="24"/>
          <w:szCs w:val="24"/>
          <w:lang w:val="en-US" w:eastAsia="zh-CN"/>
        </w:rPr>
        <w:t>如涉及事项存在不确定性，</w:t>
      </w:r>
      <w:r>
        <w:rPr>
          <w:rFonts w:hint="default" w:ascii="Times New Roman" w:hAnsi="Times New Roman" w:eastAsia="宋体" w:cs="Times New Roman"/>
          <w:bCs/>
          <w:color w:val="auto"/>
          <w:spacing w:val="8"/>
          <w:sz w:val="24"/>
          <w:szCs w:val="24"/>
        </w:rPr>
        <w:t>并充分提示相关事项可能存在的重大不确定性和风险。</w:t>
      </w:r>
    </w:p>
    <w:p w14:paraId="105E1BB1">
      <w:pPr>
        <w:spacing w:before="0" w:beforeLines="0" w:after="0" w:afterLines="0" w:line="360" w:lineRule="auto"/>
        <w:ind w:firstLine="512" w:firstLineChars="200"/>
        <w:jc w:val="both"/>
        <w:rPr>
          <w:rFonts w:hint="default" w:ascii="Times New Roman" w:hAnsi="Times New Roman" w:eastAsia="宋体" w:cs="Times New Roman"/>
          <w:bCs/>
          <w:color w:val="auto"/>
          <w:spacing w:val="8"/>
          <w:sz w:val="24"/>
          <w:szCs w:val="24"/>
        </w:rPr>
      </w:pPr>
      <w:r>
        <w:rPr>
          <w:rFonts w:hint="default" w:ascii="Times New Roman" w:hAnsi="Times New Roman" w:eastAsia="宋体" w:cs="Times New Roman"/>
          <w:bCs/>
          <w:color w:val="auto"/>
          <w:spacing w:val="8"/>
          <w:sz w:val="24"/>
          <w:szCs w:val="24"/>
        </w:rPr>
        <w:t>公司信息披露以其通过符合条件媒体披露的内容为准，在互动易平台发布的信息不得与依法披露的信息相冲突。</w:t>
      </w:r>
    </w:p>
    <w:p w14:paraId="6EE29A36">
      <w:pPr>
        <w:numPr>
          <w:ilvl w:val="0"/>
          <w:numId w:val="1"/>
        </w:numPr>
        <w:spacing w:before="0" w:beforeLines="0" w:after="0" w:afterLines="0" w:line="360" w:lineRule="auto"/>
        <w:ind w:left="0" w:firstLine="512" w:firstLineChars="200"/>
        <w:jc w:val="both"/>
        <w:rPr>
          <w:rFonts w:hint="default" w:ascii="Times New Roman" w:hAnsi="Times New Roman" w:eastAsia="宋体" w:cs="Times New Roman"/>
          <w:bCs/>
          <w:color w:val="auto"/>
          <w:spacing w:val="8"/>
          <w:sz w:val="24"/>
          <w:szCs w:val="24"/>
        </w:rPr>
      </w:pPr>
      <w:r>
        <w:rPr>
          <w:rFonts w:hint="default" w:ascii="Times New Roman" w:hAnsi="Times New Roman" w:eastAsia="宋体" w:cs="Times New Roman"/>
          <w:bCs/>
          <w:color w:val="auto"/>
          <w:spacing w:val="8"/>
          <w:sz w:val="24"/>
          <w:szCs w:val="24"/>
        </w:rPr>
        <w:t>公司在互动易平台发布信息及对涉及市场热点概念、敏感事项问题进行答复，应当谨慎、客观、具有事实依据，不得利用互动易平台迎合市场热点或者与市场热点不当关联，不得故意夸大相关事项对公司生产经营、研发</w:t>
      </w:r>
      <w:r>
        <w:rPr>
          <w:rFonts w:hint="default" w:ascii="Times New Roman" w:hAnsi="Times New Roman" w:eastAsia="宋体" w:cs="Times New Roman"/>
          <w:bCs/>
          <w:color w:val="auto"/>
          <w:spacing w:val="8"/>
          <w:sz w:val="24"/>
          <w:szCs w:val="24"/>
          <w:lang w:val="en-US" w:eastAsia="zh-CN"/>
        </w:rPr>
        <w:t>创新</w:t>
      </w:r>
      <w:r>
        <w:rPr>
          <w:rFonts w:hint="default" w:ascii="Times New Roman" w:hAnsi="Times New Roman" w:eastAsia="宋体" w:cs="Times New Roman"/>
          <w:bCs/>
          <w:color w:val="auto"/>
          <w:spacing w:val="8"/>
          <w:sz w:val="24"/>
          <w:szCs w:val="24"/>
        </w:rPr>
        <w:t>、</w:t>
      </w:r>
      <w:r>
        <w:rPr>
          <w:rFonts w:hint="default" w:ascii="Times New Roman" w:hAnsi="Times New Roman" w:eastAsia="宋体" w:cs="Times New Roman"/>
          <w:bCs/>
          <w:color w:val="auto"/>
          <w:spacing w:val="8"/>
          <w:sz w:val="24"/>
          <w:szCs w:val="24"/>
          <w:lang w:val="en-US" w:eastAsia="zh-CN"/>
        </w:rPr>
        <w:t>采购</w:t>
      </w:r>
      <w:r>
        <w:rPr>
          <w:rFonts w:hint="default" w:ascii="Times New Roman" w:hAnsi="Times New Roman" w:eastAsia="宋体" w:cs="Times New Roman"/>
          <w:bCs/>
          <w:color w:val="auto"/>
          <w:spacing w:val="8"/>
          <w:sz w:val="24"/>
          <w:szCs w:val="24"/>
        </w:rPr>
        <w:t>销售、</w:t>
      </w:r>
      <w:r>
        <w:rPr>
          <w:rFonts w:hint="default" w:ascii="Times New Roman" w:hAnsi="Times New Roman" w:eastAsia="宋体" w:cs="Times New Roman"/>
          <w:bCs/>
          <w:color w:val="auto"/>
          <w:spacing w:val="8"/>
          <w:sz w:val="24"/>
          <w:szCs w:val="24"/>
          <w:lang w:val="en-US" w:eastAsia="zh-CN"/>
        </w:rPr>
        <w:t>重大合同、战略合作、</w:t>
      </w:r>
      <w:r>
        <w:rPr>
          <w:rFonts w:hint="default" w:ascii="Times New Roman" w:hAnsi="Times New Roman" w:eastAsia="宋体" w:cs="Times New Roman"/>
          <w:bCs/>
          <w:color w:val="auto"/>
          <w:spacing w:val="8"/>
          <w:sz w:val="24"/>
          <w:szCs w:val="24"/>
        </w:rPr>
        <w:t>发展</w:t>
      </w:r>
      <w:r>
        <w:rPr>
          <w:rFonts w:hint="default" w:ascii="Times New Roman" w:hAnsi="Times New Roman" w:eastAsia="宋体" w:cs="Times New Roman"/>
          <w:bCs/>
          <w:color w:val="auto"/>
          <w:spacing w:val="8"/>
          <w:sz w:val="24"/>
          <w:szCs w:val="24"/>
          <w:lang w:val="en-US" w:eastAsia="zh-CN"/>
        </w:rPr>
        <w:t>规划</w:t>
      </w:r>
      <w:r>
        <w:rPr>
          <w:rFonts w:hint="default" w:ascii="Times New Roman" w:hAnsi="Times New Roman" w:eastAsia="宋体" w:cs="Times New Roman"/>
          <w:bCs/>
          <w:color w:val="auto"/>
          <w:spacing w:val="8"/>
          <w:sz w:val="24"/>
          <w:szCs w:val="24"/>
        </w:rPr>
        <w:t>等方面的影响，不当影响公司股票及其衍生品种价格。</w:t>
      </w:r>
    </w:p>
    <w:p w14:paraId="1564C12D">
      <w:pPr>
        <w:numPr>
          <w:ilvl w:val="0"/>
          <w:numId w:val="1"/>
        </w:numPr>
        <w:spacing w:before="0" w:beforeLines="0" w:after="0" w:afterLines="0" w:line="360" w:lineRule="auto"/>
        <w:ind w:left="0" w:firstLine="512" w:firstLineChars="200"/>
        <w:jc w:val="both"/>
        <w:rPr>
          <w:rFonts w:hint="default" w:ascii="Times New Roman" w:hAnsi="Times New Roman" w:eastAsia="宋体" w:cs="Times New Roman"/>
          <w:bCs/>
          <w:color w:val="auto"/>
          <w:spacing w:val="8"/>
          <w:sz w:val="24"/>
          <w:szCs w:val="24"/>
        </w:rPr>
      </w:pPr>
      <w:r>
        <w:rPr>
          <w:rFonts w:hint="default" w:ascii="Times New Roman" w:hAnsi="Times New Roman" w:eastAsia="宋体" w:cs="Times New Roman"/>
          <w:bCs/>
          <w:color w:val="auto"/>
          <w:spacing w:val="8"/>
          <w:sz w:val="24"/>
          <w:szCs w:val="24"/>
          <w:lang w:val="en-US" w:eastAsia="zh-CN"/>
        </w:rPr>
        <w:t>公司在互动易平台发布信息或者回复投资者提问时，不得发布涉及违反公序良俗、损害社会公众利益的信息，不得发布涉及国家秘密、商业秘密等不宜公开的信息。公司对供应商、客户等负有保密义务的，应当谨慎判断拟发布的信息或者回复的内容是否违反保密义务。</w:t>
      </w:r>
    </w:p>
    <w:p w14:paraId="7A67799D">
      <w:pPr>
        <w:numPr>
          <w:ilvl w:val="0"/>
          <w:numId w:val="0"/>
        </w:numPr>
        <w:spacing w:before="0" w:beforeLines="0" w:after="0" w:afterLines="0" w:line="360" w:lineRule="auto"/>
        <w:ind w:left="496" w:firstLine="0" w:firstLineChars="0"/>
        <w:jc w:val="both"/>
        <w:rPr>
          <w:rFonts w:hint="default" w:ascii="Times New Roman" w:hAnsi="Times New Roman" w:eastAsia="宋体" w:cs="Times New Roman"/>
          <w:bCs/>
          <w:color w:val="auto"/>
          <w:spacing w:val="8"/>
          <w:sz w:val="24"/>
          <w:szCs w:val="24"/>
        </w:rPr>
      </w:pPr>
    </w:p>
    <w:p w14:paraId="13B3F607">
      <w:pPr>
        <w:autoSpaceDE/>
        <w:autoSpaceDN/>
        <w:spacing w:before="0" w:beforeLines="0" w:after="0" w:afterLines="0" w:line="360" w:lineRule="auto"/>
        <w:ind w:left="0"/>
        <w:jc w:val="center"/>
        <w:outlineLvl w:val="1"/>
        <w:rPr>
          <w:rFonts w:hint="default" w:ascii="Times New Roman" w:hAnsi="Times New Roman" w:eastAsia="宋体" w:cs="Times New Roman"/>
          <w:b/>
          <w:bCs/>
          <w:color w:val="auto"/>
          <w:spacing w:val="0"/>
          <w:kern w:val="2"/>
          <w:sz w:val="24"/>
          <w:szCs w:val="24"/>
          <w:lang w:val="en-US" w:bidi="ar-SA"/>
        </w:rPr>
      </w:pPr>
      <w:r>
        <w:rPr>
          <w:rFonts w:hint="default" w:ascii="Times New Roman" w:hAnsi="Times New Roman" w:eastAsia="宋体" w:cs="Times New Roman"/>
          <w:b/>
          <w:bCs/>
          <w:color w:val="auto"/>
          <w:spacing w:val="0"/>
          <w:kern w:val="2"/>
          <w:sz w:val="24"/>
          <w:szCs w:val="24"/>
          <w:lang w:val="en-US" w:bidi="ar-SA"/>
        </w:rPr>
        <w:t>第十章 附则</w:t>
      </w:r>
    </w:p>
    <w:p w14:paraId="72D51472">
      <w:pPr>
        <w:numPr>
          <w:ilvl w:val="0"/>
          <w:numId w:val="1"/>
        </w:numPr>
        <w:spacing w:before="0" w:beforeLines="0" w:after="0" w:afterLines="0" w:line="360" w:lineRule="auto"/>
        <w:ind w:left="0" w:firstLine="512" w:firstLineChars="200"/>
        <w:jc w:val="both"/>
        <w:rPr>
          <w:rFonts w:hint="default" w:ascii="Times New Roman" w:hAnsi="Times New Roman" w:eastAsia="宋体" w:cs="Times New Roman"/>
          <w:bCs/>
          <w:color w:val="auto"/>
          <w:spacing w:val="8"/>
          <w:sz w:val="24"/>
          <w:szCs w:val="24"/>
          <w:highlight w:val="none"/>
        </w:rPr>
      </w:pPr>
      <w:r>
        <w:rPr>
          <w:rFonts w:hint="default" w:ascii="Times New Roman" w:hAnsi="Times New Roman" w:eastAsia="宋体" w:cs="Times New Roman"/>
          <w:bCs/>
          <w:color w:val="auto"/>
          <w:spacing w:val="8"/>
          <w:sz w:val="24"/>
          <w:szCs w:val="24"/>
          <w:highlight w:val="none"/>
        </w:rPr>
        <w:t>本制度</w:t>
      </w:r>
      <w:r>
        <w:rPr>
          <w:rFonts w:hint="default" w:ascii="Times New Roman" w:hAnsi="Times New Roman" w:eastAsia="宋体" w:cs="Times New Roman"/>
          <w:bCs/>
          <w:color w:val="auto"/>
          <w:spacing w:val="8"/>
          <w:sz w:val="24"/>
          <w:szCs w:val="24"/>
          <w:highlight w:val="none"/>
          <w:lang w:val="en-US"/>
        </w:rPr>
        <w:t>由</w:t>
      </w:r>
      <w:r>
        <w:rPr>
          <w:rFonts w:hint="default" w:ascii="Times New Roman" w:hAnsi="Times New Roman" w:eastAsia="宋体" w:cs="Times New Roman"/>
          <w:bCs/>
          <w:color w:val="auto"/>
          <w:spacing w:val="8"/>
          <w:sz w:val="24"/>
          <w:szCs w:val="24"/>
          <w:highlight w:val="none"/>
        </w:rPr>
        <w:t>董事会负责修订和解释，自</w:t>
      </w:r>
      <w:r>
        <w:rPr>
          <w:rFonts w:hint="default" w:ascii="Times New Roman" w:hAnsi="Times New Roman" w:eastAsia="宋体" w:cs="Times New Roman"/>
          <w:bCs/>
          <w:color w:val="auto"/>
          <w:spacing w:val="8"/>
          <w:sz w:val="24"/>
          <w:szCs w:val="24"/>
          <w:highlight w:val="none"/>
          <w:lang w:eastAsia="zh-CN"/>
        </w:rPr>
        <w:t>股东会</w:t>
      </w:r>
      <w:r>
        <w:rPr>
          <w:rFonts w:hint="default" w:ascii="Times New Roman" w:hAnsi="Times New Roman" w:eastAsia="宋体" w:cs="Times New Roman"/>
          <w:bCs/>
          <w:color w:val="auto"/>
          <w:spacing w:val="8"/>
          <w:sz w:val="24"/>
          <w:szCs w:val="24"/>
          <w:highlight w:val="none"/>
        </w:rPr>
        <w:t>批准之日起实施，修改时亦同。</w:t>
      </w:r>
    </w:p>
    <w:p w14:paraId="40F19C74">
      <w:pPr>
        <w:numPr>
          <w:ilvl w:val="0"/>
          <w:numId w:val="1"/>
        </w:numPr>
        <w:spacing w:before="0" w:beforeLines="0" w:after="0" w:afterLines="0" w:line="360" w:lineRule="auto"/>
        <w:ind w:left="0" w:firstLine="512" w:firstLineChars="200"/>
        <w:jc w:val="both"/>
        <w:rPr>
          <w:rFonts w:hint="default" w:ascii="Times New Roman" w:hAnsi="Times New Roman" w:eastAsia="宋体" w:cs="Times New Roman"/>
          <w:bCs/>
          <w:color w:val="auto"/>
          <w:spacing w:val="8"/>
          <w:sz w:val="24"/>
          <w:szCs w:val="24"/>
        </w:rPr>
      </w:pPr>
      <w:r>
        <w:rPr>
          <w:rFonts w:hint="default" w:ascii="Times New Roman" w:hAnsi="Times New Roman" w:eastAsia="宋体" w:cs="Times New Roman"/>
          <w:bCs/>
          <w:color w:val="auto"/>
          <w:spacing w:val="8"/>
          <w:sz w:val="24"/>
          <w:szCs w:val="24"/>
        </w:rPr>
        <w:t>本制度如与国家法律、行政法规或规范性文件以及《公司章程》相抵触时，执行国家法律、行政法规或规范性文件以及《公司章程》的规定。</w:t>
      </w:r>
    </w:p>
    <w:p w14:paraId="0CB87AE7">
      <w:pPr>
        <w:numPr>
          <w:ilvl w:val="0"/>
          <w:numId w:val="1"/>
        </w:numPr>
        <w:spacing w:before="0" w:beforeLines="0" w:after="0" w:afterLines="0" w:line="360" w:lineRule="auto"/>
        <w:ind w:left="0" w:firstLine="512" w:firstLineChars="200"/>
        <w:jc w:val="both"/>
        <w:rPr>
          <w:rFonts w:hint="default" w:ascii="Times New Roman" w:hAnsi="Times New Roman" w:eastAsia="宋体" w:cs="Times New Roman"/>
          <w:bCs/>
          <w:color w:val="auto"/>
          <w:spacing w:val="8"/>
          <w:sz w:val="24"/>
          <w:szCs w:val="24"/>
        </w:rPr>
      </w:pPr>
      <w:r>
        <w:rPr>
          <w:rFonts w:hint="default" w:ascii="Times New Roman" w:hAnsi="Times New Roman" w:eastAsia="宋体" w:cs="Times New Roman"/>
          <w:bCs/>
          <w:color w:val="auto"/>
          <w:spacing w:val="8"/>
          <w:sz w:val="24"/>
          <w:szCs w:val="24"/>
        </w:rPr>
        <w:t>本制度未尽事宜，按照国家有关法律法规或规范性文件以及《公司章程》的规定执行。</w:t>
      </w:r>
    </w:p>
    <w:p w14:paraId="51B93123">
      <w:pPr>
        <w:adjustRightInd w:val="0"/>
        <w:spacing w:before="0" w:beforeLines="0" w:after="0" w:afterLines="0" w:line="360" w:lineRule="auto"/>
        <w:ind w:firstLine="464" w:firstLineChars="200"/>
        <w:jc w:val="right"/>
        <w:rPr>
          <w:rFonts w:hint="default" w:ascii="Times New Roman" w:hAnsi="Times New Roman" w:eastAsia="宋体" w:cs="Times New Roman"/>
          <w:color w:val="auto"/>
          <w:spacing w:val="-4"/>
          <w:sz w:val="24"/>
          <w:szCs w:val="24"/>
        </w:rPr>
      </w:pPr>
    </w:p>
    <w:p w14:paraId="38F300BB">
      <w:pPr>
        <w:adjustRightInd w:val="0"/>
        <w:spacing w:before="0" w:beforeLines="0" w:after="0" w:afterLines="0" w:line="360" w:lineRule="auto"/>
        <w:ind w:firstLine="464" w:firstLineChars="200"/>
        <w:jc w:val="right"/>
        <w:rPr>
          <w:rFonts w:hint="default" w:ascii="Times New Roman" w:hAnsi="Times New Roman" w:eastAsia="宋体" w:cs="Times New Roman"/>
          <w:color w:val="auto"/>
          <w:spacing w:val="-4"/>
          <w:sz w:val="24"/>
          <w:szCs w:val="24"/>
        </w:rPr>
      </w:pPr>
    </w:p>
    <w:p w14:paraId="48C5F2A7">
      <w:pPr>
        <w:adjustRightInd w:val="0"/>
        <w:spacing w:before="0" w:beforeLines="0" w:after="0" w:afterLines="0" w:line="360" w:lineRule="auto"/>
        <w:ind w:firstLine="464" w:firstLineChars="200"/>
        <w:jc w:val="right"/>
        <w:rPr>
          <w:rFonts w:hint="default" w:ascii="Times New Roman" w:hAnsi="Times New Roman" w:eastAsia="宋体" w:cs="Times New Roman"/>
          <w:color w:val="auto"/>
          <w:spacing w:val="-4"/>
          <w:sz w:val="24"/>
          <w:szCs w:val="24"/>
        </w:rPr>
      </w:pPr>
      <w:r>
        <w:rPr>
          <w:rFonts w:hint="default" w:ascii="Times New Roman" w:hAnsi="Times New Roman" w:eastAsia="宋体" w:cs="Times New Roman"/>
          <w:color w:val="auto"/>
          <w:spacing w:val="-4"/>
          <w:sz w:val="24"/>
          <w:szCs w:val="24"/>
        </w:rPr>
        <w:t>嘉亨家化股份有限公司</w:t>
      </w:r>
    </w:p>
    <w:p w14:paraId="24123DE1">
      <w:pPr>
        <w:adjustRightInd w:val="0"/>
        <w:spacing w:before="0" w:beforeLines="0" w:after="0" w:afterLines="0" w:line="360" w:lineRule="auto"/>
        <w:ind w:firstLine="464" w:firstLineChars="200"/>
        <w:jc w:val="right"/>
        <w:rPr>
          <w:rFonts w:hint="default" w:ascii="Times New Roman" w:hAnsi="Times New Roman" w:eastAsia="宋体" w:cs="Times New Roman"/>
          <w:color w:val="auto"/>
          <w:spacing w:val="-4"/>
          <w:sz w:val="24"/>
          <w:szCs w:val="24"/>
        </w:rPr>
      </w:pPr>
      <w:r>
        <w:rPr>
          <w:rFonts w:hint="default" w:ascii="Times New Roman" w:hAnsi="Times New Roman" w:eastAsia="宋体" w:cs="Times New Roman"/>
          <w:color w:val="auto"/>
          <w:spacing w:val="-4"/>
          <w:sz w:val="24"/>
          <w:szCs w:val="24"/>
        </w:rPr>
        <w:t xml:space="preserve">                                         </w:t>
      </w:r>
      <w:r>
        <w:rPr>
          <w:rFonts w:hint="default" w:ascii="Times New Roman" w:hAnsi="Times New Roman" w:eastAsia="宋体" w:cs="Times New Roman"/>
          <w:color w:val="auto"/>
          <w:spacing w:val="-4"/>
          <w:sz w:val="24"/>
          <w:szCs w:val="24"/>
          <w:lang w:val="en-US"/>
        </w:rPr>
        <w:t>202</w:t>
      </w:r>
      <w:r>
        <w:rPr>
          <w:rFonts w:hint="default" w:ascii="Times New Roman" w:hAnsi="Times New Roman" w:eastAsia="宋体" w:cs="Times New Roman"/>
          <w:color w:val="auto"/>
          <w:spacing w:val="-4"/>
          <w:sz w:val="24"/>
          <w:szCs w:val="24"/>
          <w:lang w:val="en-US" w:eastAsia="zh-CN"/>
        </w:rPr>
        <w:t>5</w:t>
      </w:r>
      <w:r>
        <w:rPr>
          <w:rFonts w:hint="default" w:ascii="Times New Roman" w:hAnsi="Times New Roman" w:eastAsia="宋体" w:cs="Times New Roman"/>
          <w:color w:val="auto"/>
          <w:spacing w:val="-4"/>
          <w:sz w:val="24"/>
          <w:szCs w:val="24"/>
        </w:rPr>
        <w:t>年</w:t>
      </w:r>
      <w:r>
        <w:rPr>
          <w:rFonts w:hint="default" w:ascii="Times New Roman" w:hAnsi="Times New Roman" w:eastAsia="宋体" w:cs="Times New Roman"/>
          <w:color w:val="auto"/>
          <w:spacing w:val="-4"/>
          <w:sz w:val="24"/>
          <w:szCs w:val="24"/>
          <w:lang w:val="en-US" w:eastAsia="zh-CN"/>
        </w:rPr>
        <w:t>10</w:t>
      </w:r>
      <w:r>
        <w:rPr>
          <w:rFonts w:hint="default" w:ascii="Times New Roman" w:hAnsi="Times New Roman" w:eastAsia="宋体" w:cs="Times New Roman"/>
          <w:color w:val="auto"/>
          <w:spacing w:val="-4"/>
          <w:sz w:val="24"/>
          <w:szCs w:val="24"/>
        </w:rPr>
        <w:t>月</w:t>
      </w:r>
    </w:p>
    <w:sectPr>
      <w:headerReference r:id="rId4" w:type="default"/>
      <w:footerReference r:id="rId5" w:type="default"/>
      <w:pgSz w:w="11910" w:h="16840"/>
      <w:pgMar w:top="1440" w:right="1800" w:bottom="1440" w:left="1800" w:header="1134" w:footer="964" w:gutter="0"/>
      <w:pgBorders>
        <w:top w:val="none" w:sz="0" w:space="0"/>
        <w:left w:val="none" w:sz="0" w:space="0"/>
        <w:bottom w:val="none" w:sz="0" w:space="0"/>
        <w:right w:val="none" w:sz="0" w:space="0"/>
      </w:pgBorders>
      <w:pgNumType w:start="1"/>
      <w:cols w:space="720" w:num="1"/>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A869C0">
    <w:pPr>
      <w:pStyle w:val="6"/>
      <w:spacing w:before="0" w:line="14" w:lineRule="auto"/>
      <w:ind w:left="0"/>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2D035A">
    <w:pPr>
      <w:pStyle w:val="8"/>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PAGE   \* MERGEFORMAT</w:instrText>
    </w:r>
    <w:r>
      <w:rPr>
        <w:rFonts w:ascii="Times New Roman" w:hAnsi="Times New Roman" w:cs="Times New Roman"/>
      </w:rPr>
      <w:fldChar w:fldCharType="separate"/>
    </w:r>
    <w:r>
      <w:rPr>
        <w:rFonts w:ascii="Times New Roman" w:hAnsi="Times New Roman" w:cs="Times New Roman"/>
      </w:rPr>
      <w:t>3</w:t>
    </w:r>
    <w:r>
      <w:rPr>
        <w:rFonts w:ascii="Times New Roman" w:hAnsi="Times New Roman" w:cs="Times New Roman"/>
      </w:rPr>
      <w:fldChar w:fldCharType="end"/>
    </w:r>
  </w:p>
  <w:p w14:paraId="656A8DBF">
    <w:pPr>
      <w:pStyle w:val="6"/>
      <w:spacing w:before="0" w:line="14" w:lineRule="auto"/>
      <w:ind w:left="0"/>
      <w:rPr>
        <w:sz w:val="20"/>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5AC797">
    <w:pPr>
      <w:pStyle w:val="9"/>
    </w:pPr>
    <w:r>
      <w:rPr>
        <w:rFonts w:hint="eastAsia"/>
        <w:sz w:val="18"/>
        <w:szCs w:val="18"/>
      </w:rPr>
      <w:t>嘉亨家化股份有限公司</w:t>
    </w:r>
    <w:r>
      <w:rPr>
        <w:sz w:val="18"/>
        <w:szCs w:val="18"/>
      </w:rPr>
      <w:t xml:space="preserve">         </w:t>
    </w:r>
    <w:r>
      <w:t xml:space="preserve">               </w:t>
    </w:r>
    <w:r>
      <w:rPr>
        <w:sz w:val="18"/>
        <w:szCs w:val="18"/>
      </w:rPr>
      <w:t xml:space="preserve">                            </w:t>
    </w:r>
    <w:r>
      <w:rPr>
        <w:rFonts w:hint="eastAsia"/>
        <w:sz w:val="18"/>
        <w:szCs w:val="18"/>
      </w:rPr>
      <w:t>投资者关系管理制度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19AA6A"/>
    <w:multiLevelType w:val="singleLevel"/>
    <w:tmpl w:val="8719AA6A"/>
    <w:lvl w:ilvl="0" w:tentative="0">
      <w:start w:val="1"/>
      <w:numFmt w:val="chineseCounting"/>
      <w:suff w:val="nothing"/>
      <w:lvlText w:val="（%1）"/>
      <w:lvlJc w:val="left"/>
      <w:pPr>
        <w:ind w:left="0" w:firstLine="420"/>
      </w:pPr>
      <w:rPr>
        <w:rFonts w:hint="eastAsia"/>
        <w:sz w:val="24"/>
        <w:szCs w:val="24"/>
      </w:rPr>
    </w:lvl>
  </w:abstractNum>
  <w:abstractNum w:abstractNumId="1">
    <w:nsid w:val="B557D09C"/>
    <w:multiLevelType w:val="singleLevel"/>
    <w:tmpl w:val="B557D09C"/>
    <w:lvl w:ilvl="0" w:tentative="0">
      <w:start w:val="1"/>
      <w:numFmt w:val="chineseCounting"/>
      <w:suff w:val="nothing"/>
      <w:lvlText w:val="（%1）"/>
      <w:lvlJc w:val="left"/>
      <w:pPr>
        <w:ind w:left="0" w:firstLine="420"/>
      </w:pPr>
      <w:rPr>
        <w:rFonts w:hint="eastAsia"/>
        <w:sz w:val="24"/>
        <w:szCs w:val="24"/>
      </w:rPr>
    </w:lvl>
  </w:abstractNum>
  <w:abstractNum w:abstractNumId="2">
    <w:nsid w:val="E00709F8"/>
    <w:multiLevelType w:val="singleLevel"/>
    <w:tmpl w:val="E00709F8"/>
    <w:lvl w:ilvl="0" w:tentative="0">
      <w:start w:val="1"/>
      <w:numFmt w:val="chineseCounting"/>
      <w:suff w:val="nothing"/>
      <w:lvlText w:val="（%1）"/>
      <w:lvlJc w:val="left"/>
      <w:pPr>
        <w:ind w:left="0" w:firstLine="420"/>
      </w:pPr>
      <w:rPr>
        <w:rFonts w:hint="eastAsia"/>
        <w:sz w:val="24"/>
        <w:szCs w:val="24"/>
      </w:rPr>
    </w:lvl>
  </w:abstractNum>
  <w:abstractNum w:abstractNumId="3">
    <w:nsid w:val="E91F5397"/>
    <w:multiLevelType w:val="singleLevel"/>
    <w:tmpl w:val="E91F5397"/>
    <w:lvl w:ilvl="0" w:tentative="0">
      <w:start w:val="1"/>
      <w:numFmt w:val="chineseCounting"/>
      <w:suff w:val="nothing"/>
      <w:lvlText w:val="（%1）"/>
      <w:lvlJc w:val="left"/>
      <w:pPr>
        <w:ind w:left="0" w:firstLine="420"/>
      </w:pPr>
      <w:rPr>
        <w:rFonts w:hint="eastAsia"/>
        <w:sz w:val="24"/>
        <w:szCs w:val="24"/>
      </w:rPr>
    </w:lvl>
  </w:abstractNum>
  <w:abstractNum w:abstractNumId="4">
    <w:nsid w:val="11BEE9E7"/>
    <w:multiLevelType w:val="multilevel"/>
    <w:tmpl w:val="11BEE9E7"/>
    <w:lvl w:ilvl="0" w:tentative="0">
      <w:start w:val="1"/>
      <w:numFmt w:val="chineseCountingThousand"/>
      <w:suff w:val="nothing"/>
      <w:lvlText w:val="第%1条  "/>
      <w:lvlJc w:val="left"/>
      <w:pPr>
        <w:ind w:left="1935" w:hanging="1515"/>
      </w:pPr>
      <w:rPr>
        <w:rFonts w:hint="eastAsia"/>
        <w:b/>
        <w:sz w:val="24"/>
        <w:szCs w:val="24"/>
      </w:rPr>
    </w:lvl>
    <w:lvl w:ilvl="1" w:tentative="0">
      <w:start w:val="1"/>
      <w:numFmt w:val="lowerLetter"/>
      <w:lvlText w:val="%2)"/>
      <w:lvlJc w:val="left"/>
      <w:pPr>
        <w:tabs>
          <w:tab w:val="left" w:pos="1260"/>
        </w:tabs>
        <w:ind w:left="1260" w:hanging="420"/>
      </w:pPr>
      <w:rPr>
        <w:rFonts w:hint="eastAsia"/>
      </w:rPr>
    </w:lvl>
    <w:lvl w:ilvl="2" w:tentative="0">
      <w:start w:val="1"/>
      <w:numFmt w:val="lowerRoman"/>
      <w:lvlText w:val="%3."/>
      <w:lvlJc w:val="right"/>
      <w:pPr>
        <w:tabs>
          <w:tab w:val="left" w:pos="1680"/>
        </w:tabs>
        <w:ind w:left="1680" w:hanging="420"/>
      </w:pPr>
      <w:rPr>
        <w:rFonts w:hint="eastAsia"/>
      </w:rPr>
    </w:lvl>
    <w:lvl w:ilvl="3" w:tentative="0">
      <w:start w:val="1"/>
      <w:numFmt w:val="decimal"/>
      <w:lvlText w:val="%4."/>
      <w:lvlJc w:val="left"/>
      <w:pPr>
        <w:tabs>
          <w:tab w:val="left" w:pos="2100"/>
        </w:tabs>
        <w:ind w:left="2100" w:hanging="420"/>
      </w:pPr>
      <w:rPr>
        <w:rFonts w:hint="eastAsia"/>
      </w:rPr>
    </w:lvl>
    <w:lvl w:ilvl="4" w:tentative="0">
      <w:start w:val="1"/>
      <w:numFmt w:val="lowerLetter"/>
      <w:lvlText w:val="%5)"/>
      <w:lvlJc w:val="left"/>
      <w:pPr>
        <w:tabs>
          <w:tab w:val="left" w:pos="2520"/>
        </w:tabs>
        <w:ind w:left="2520" w:hanging="420"/>
      </w:pPr>
      <w:rPr>
        <w:rFonts w:hint="eastAsia"/>
      </w:rPr>
    </w:lvl>
    <w:lvl w:ilvl="5" w:tentative="0">
      <w:start w:val="1"/>
      <w:numFmt w:val="lowerRoman"/>
      <w:lvlText w:val="%6."/>
      <w:lvlJc w:val="right"/>
      <w:pPr>
        <w:tabs>
          <w:tab w:val="left" w:pos="2940"/>
        </w:tabs>
        <w:ind w:left="2940" w:hanging="420"/>
      </w:pPr>
      <w:rPr>
        <w:rFonts w:hint="eastAsia"/>
      </w:rPr>
    </w:lvl>
    <w:lvl w:ilvl="6" w:tentative="0">
      <w:start w:val="1"/>
      <w:numFmt w:val="decimal"/>
      <w:lvlText w:val="%7."/>
      <w:lvlJc w:val="left"/>
      <w:pPr>
        <w:tabs>
          <w:tab w:val="left" w:pos="3360"/>
        </w:tabs>
        <w:ind w:left="3360" w:hanging="420"/>
      </w:pPr>
      <w:rPr>
        <w:rFonts w:hint="eastAsia"/>
      </w:rPr>
    </w:lvl>
    <w:lvl w:ilvl="7" w:tentative="0">
      <w:start w:val="1"/>
      <w:numFmt w:val="lowerLetter"/>
      <w:lvlText w:val="%8)"/>
      <w:lvlJc w:val="left"/>
      <w:pPr>
        <w:tabs>
          <w:tab w:val="left" w:pos="3780"/>
        </w:tabs>
        <w:ind w:left="3780" w:hanging="420"/>
      </w:pPr>
      <w:rPr>
        <w:rFonts w:hint="eastAsia"/>
      </w:rPr>
    </w:lvl>
    <w:lvl w:ilvl="8" w:tentative="0">
      <w:start w:val="1"/>
      <w:numFmt w:val="lowerRoman"/>
      <w:lvlText w:val="%9."/>
      <w:lvlJc w:val="right"/>
      <w:pPr>
        <w:tabs>
          <w:tab w:val="left" w:pos="4200"/>
        </w:tabs>
        <w:ind w:left="4200" w:hanging="420"/>
      </w:pPr>
      <w:rPr>
        <w:rFonts w:hint="eastAsia"/>
      </w:rPr>
    </w:lvl>
  </w:abstractNum>
  <w:abstractNum w:abstractNumId="5">
    <w:nsid w:val="5010DE4A"/>
    <w:multiLevelType w:val="singleLevel"/>
    <w:tmpl w:val="5010DE4A"/>
    <w:lvl w:ilvl="0" w:tentative="0">
      <w:start w:val="1"/>
      <w:numFmt w:val="chineseCounting"/>
      <w:suff w:val="nothing"/>
      <w:lvlText w:val="（%1）"/>
      <w:lvlJc w:val="left"/>
      <w:pPr>
        <w:ind w:left="0" w:firstLine="420"/>
      </w:pPr>
      <w:rPr>
        <w:rFonts w:hint="eastAsia"/>
        <w:sz w:val="24"/>
        <w:szCs w:val="24"/>
      </w:rPr>
    </w:lvl>
  </w:abstractNum>
  <w:num w:numId="1">
    <w:abstractNumId w:val="4"/>
  </w:num>
  <w:num w:numId="2">
    <w:abstractNumId w:val="5"/>
  </w:num>
  <w:num w:numId="3">
    <w:abstractNumId w:val="3"/>
  </w:num>
  <w:num w:numId="4">
    <w:abstractNumId w:val="1"/>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trackRevisions w:val="1"/>
  <w:documentProtection w:enforcement="0"/>
  <w:defaultTabStop w:val="512"/>
  <w:drawingGridHorizontalSpacing w:val="110"/>
  <w:displayHorizontalDrawingGridEvery w:val="1"/>
  <w:displayVerticalDrawingGridEvery w:val="1"/>
  <w:noPunctuationKerning w:val="1"/>
  <w:characterSpacingControl w:val="doNotCompress"/>
  <w:compat>
    <w:ulTrailSpace/>
    <w:doNotExpandShiftReturn/>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517A"/>
    <w:rsid w:val="00067388"/>
    <w:rsid w:val="000730C9"/>
    <w:rsid w:val="000D3CF5"/>
    <w:rsid w:val="00140CD4"/>
    <w:rsid w:val="00176E2A"/>
    <w:rsid w:val="00242E01"/>
    <w:rsid w:val="002575CA"/>
    <w:rsid w:val="002752C9"/>
    <w:rsid w:val="00333F3B"/>
    <w:rsid w:val="00382C62"/>
    <w:rsid w:val="004209F5"/>
    <w:rsid w:val="00455D6F"/>
    <w:rsid w:val="004A07FC"/>
    <w:rsid w:val="0052517A"/>
    <w:rsid w:val="00543332"/>
    <w:rsid w:val="00557637"/>
    <w:rsid w:val="0056340C"/>
    <w:rsid w:val="005E1143"/>
    <w:rsid w:val="0061641B"/>
    <w:rsid w:val="006E40E4"/>
    <w:rsid w:val="006F7A54"/>
    <w:rsid w:val="007101BD"/>
    <w:rsid w:val="0073770F"/>
    <w:rsid w:val="00747E81"/>
    <w:rsid w:val="00756694"/>
    <w:rsid w:val="00764E60"/>
    <w:rsid w:val="007F2C51"/>
    <w:rsid w:val="007F6E09"/>
    <w:rsid w:val="00810547"/>
    <w:rsid w:val="00842802"/>
    <w:rsid w:val="008507B4"/>
    <w:rsid w:val="0088060C"/>
    <w:rsid w:val="008B1F53"/>
    <w:rsid w:val="008C17FF"/>
    <w:rsid w:val="008D244C"/>
    <w:rsid w:val="00952B9C"/>
    <w:rsid w:val="0098068B"/>
    <w:rsid w:val="009B4BBC"/>
    <w:rsid w:val="009D22EB"/>
    <w:rsid w:val="00A062DB"/>
    <w:rsid w:val="00A425F8"/>
    <w:rsid w:val="00A95251"/>
    <w:rsid w:val="00AB28B5"/>
    <w:rsid w:val="00AB46AE"/>
    <w:rsid w:val="00AB6180"/>
    <w:rsid w:val="00AE6EF7"/>
    <w:rsid w:val="00B127B4"/>
    <w:rsid w:val="00B36B06"/>
    <w:rsid w:val="00B6048B"/>
    <w:rsid w:val="00B678B4"/>
    <w:rsid w:val="00B72EBB"/>
    <w:rsid w:val="00B77233"/>
    <w:rsid w:val="00BA3D80"/>
    <w:rsid w:val="00C367C1"/>
    <w:rsid w:val="00C97A47"/>
    <w:rsid w:val="00D10268"/>
    <w:rsid w:val="00E07A25"/>
    <w:rsid w:val="00E16658"/>
    <w:rsid w:val="00E71605"/>
    <w:rsid w:val="00E928A3"/>
    <w:rsid w:val="00F01B97"/>
    <w:rsid w:val="00F22BCB"/>
    <w:rsid w:val="00F3114E"/>
    <w:rsid w:val="00F654F9"/>
    <w:rsid w:val="00FD4390"/>
    <w:rsid w:val="00FD45E4"/>
    <w:rsid w:val="00FE5357"/>
    <w:rsid w:val="00FE7EC3"/>
    <w:rsid w:val="00FF3D8A"/>
    <w:rsid w:val="01707F03"/>
    <w:rsid w:val="01B91464"/>
    <w:rsid w:val="025E7470"/>
    <w:rsid w:val="032D66E1"/>
    <w:rsid w:val="03374D4C"/>
    <w:rsid w:val="03C251AD"/>
    <w:rsid w:val="05270AB0"/>
    <w:rsid w:val="066F49B4"/>
    <w:rsid w:val="09A57A78"/>
    <w:rsid w:val="0B2B60DF"/>
    <w:rsid w:val="0CFC29E1"/>
    <w:rsid w:val="0D051C61"/>
    <w:rsid w:val="0D127F0D"/>
    <w:rsid w:val="0DFE53E4"/>
    <w:rsid w:val="0E0D3D0D"/>
    <w:rsid w:val="0E3028E2"/>
    <w:rsid w:val="0E8C5E08"/>
    <w:rsid w:val="0F893320"/>
    <w:rsid w:val="10246EEB"/>
    <w:rsid w:val="10277FDE"/>
    <w:rsid w:val="10975873"/>
    <w:rsid w:val="129922DF"/>
    <w:rsid w:val="146A7E07"/>
    <w:rsid w:val="15236F48"/>
    <w:rsid w:val="16453C7D"/>
    <w:rsid w:val="199F7CAE"/>
    <w:rsid w:val="1A4A1DEE"/>
    <w:rsid w:val="1BA372CE"/>
    <w:rsid w:val="1D3C0585"/>
    <w:rsid w:val="1FF438D6"/>
    <w:rsid w:val="2382566F"/>
    <w:rsid w:val="263A4CF4"/>
    <w:rsid w:val="26422667"/>
    <w:rsid w:val="266F78B7"/>
    <w:rsid w:val="26E10656"/>
    <w:rsid w:val="29A95915"/>
    <w:rsid w:val="2A4577F9"/>
    <w:rsid w:val="2C3E56FB"/>
    <w:rsid w:val="2C6763EC"/>
    <w:rsid w:val="2C996CB3"/>
    <w:rsid w:val="2CFE6ACA"/>
    <w:rsid w:val="2D5F2BA7"/>
    <w:rsid w:val="2DB81FE3"/>
    <w:rsid w:val="2F192FEB"/>
    <w:rsid w:val="2FFB0D48"/>
    <w:rsid w:val="30567424"/>
    <w:rsid w:val="33272B64"/>
    <w:rsid w:val="348972C5"/>
    <w:rsid w:val="349D438E"/>
    <w:rsid w:val="351310AC"/>
    <w:rsid w:val="35690825"/>
    <w:rsid w:val="357464E9"/>
    <w:rsid w:val="35EB1149"/>
    <w:rsid w:val="39EC26CE"/>
    <w:rsid w:val="3BFF43BF"/>
    <w:rsid w:val="3CFE5A61"/>
    <w:rsid w:val="3E4154E6"/>
    <w:rsid w:val="3F3474D1"/>
    <w:rsid w:val="45734892"/>
    <w:rsid w:val="457C3550"/>
    <w:rsid w:val="45A86A75"/>
    <w:rsid w:val="4ACF3CCA"/>
    <w:rsid w:val="4BF65666"/>
    <w:rsid w:val="4DCE7D75"/>
    <w:rsid w:val="51BF5F1B"/>
    <w:rsid w:val="523E7242"/>
    <w:rsid w:val="531E7E4A"/>
    <w:rsid w:val="5AB64F46"/>
    <w:rsid w:val="5CA0559D"/>
    <w:rsid w:val="5D2268F6"/>
    <w:rsid w:val="5DB76AFA"/>
    <w:rsid w:val="5DD93424"/>
    <w:rsid w:val="5E421294"/>
    <w:rsid w:val="60813531"/>
    <w:rsid w:val="63923132"/>
    <w:rsid w:val="640A0E55"/>
    <w:rsid w:val="65110961"/>
    <w:rsid w:val="67F23153"/>
    <w:rsid w:val="6B512533"/>
    <w:rsid w:val="6EAF1F70"/>
    <w:rsid w:val="6FA2402A"/>
    <w:rsid w:val="702605CE"/>
    <w:rsid w:val="70C352B0"/>
    <w:rsid w:val="721E492A"/>
    <w:rsid w:val="76397A7E"/>
    <w:rsid w:val="77C3339D"/>
    <w:rsid w:val="78CE09E3"/>
    <w:rsid w:val="78D86C96"/>
    <w:rsid w:val="791A5DF5"/>
    <w:rsid w:val="79504F88"/>
    <w:rsid w:val="7A742AF9"/>
    <w:rsid w:val="7AF20AAA"/>
    <w:rsid w:val="7EE45F49"/>
    <w:rsid w:val="7EE644F5"/>
    <w:rsid w:val="7F977F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pPr>
    <w:rPr>
      <w:rFonts w:ascii="宋体" w:hAnsi="宋体" w:eastAsia="宋体" w:cs="宋体"/>
      <w:sz w:val="22"/>
      <w:szCs w:val="22"/>
      <w:lang w:val="zh-CN" w:eastAsia="zh-CN" w:bidi="zh-CN"/>
    </w:rPr>
  </w:style>
  <w:style w:type="paragraph" w:styleId="2">
    <w:name w:val="heading 1"/>
    <w:basedOn w:val="1"/>
    <w:next w:val="1"/>
    <w:qFormat/>
    <w:uiPriority w:val="9"/>
    <w:pPr>
      <w:ind w:left="314"/>
      <w:jc w:val="center"/>
      <w:outlineLvl w:val="0"/>
    </w:pPr>
    <w:rPr>
      <w:b/>
      <w:bCs/>
      <w:sz w:val="24"/>
      <w:szCs w:val="24"/>
    </w:rPr>
  </w:style>
  <w:style w:type="paragraph" w:styleId="3">
    <w:name w:val="heading 2"/>
    <w:basedOn w:val="1"/>
    <w:next w:val="1"/>
    <w:link w:val="24"/>
    <w:unhideWhenUsed/>
    <w:qFormat/>
    <w:uiPriority w:val="9"/>
    <w:pPr>
      <w:keepNext/>
      <w:keepLines/>
      <w:spacing w:before="260" w:after="260" w:line="416" w:lineRule="auto"/>
      <w:outlineLvl w:val="1"/>
    </w:pPr>
    <w:rPr>
      <w:rFonts w:ascii="等线 Light" w:hAnsi="等线 Light" w:eastAsia="等线 Light" w:cs="Times New Roman"/>
      <w:b/>
      <w:bCs/>
      <w:sz w:val="32"/>
      <w:szCs w:val="32"/>
    </w:rPr>
  </w:style>
  <w:style w:type="paragraph" w:styleId="4">
    <w:name w:val="heading 3"/>
    <w:basedOn w:val="1"/>
    <w:next w:val="1"/>
    <w:semiHidden/>
    <w:unhideWhenUsed/>
    <w:qFormat/>
    <w:uiPriority w:val="9"/>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26"/>
    <w:semiHidden/>
    <w:unhideWhenUsed/>
    <w:qFormat/>
    <w:uiPriority w:val="99"/>
  </w:style>
  <w:style w:type="paragraph" w:styleId="6">
    <w:name w:val="Body Text"/>
    <w:basedOn w:val="1"/>
    <w:qFormat/>
    <w:uiPriority w:val="1"/>
    <w:pPr>
      <w:spacing w:before="1"/>
      <w:ind w:left="118"/>
    </w:pPr>
    <w:rPr>
      <w:sz w:val="24"/>
      <w:szCs w:val="24"/>
    </w:rPr>
  </w:style>
  <w:style w:type="paragraph" w:styleId="7">
    <w:name w:val="Balloon Text"/>
    <w:basedOn w:val="1"/>
    <w:link w:val="29"/>
    <w:semiHidden/>
    <w:unhideWhenUsed/>
    <w:qFormat/>
    <w:uiPriority w:val="99"/>
    <w:rPr>
      <w:sz w:val="18"/>
      <w:szCs w:val="18"/>
    </w:rPr>
  </w:style>
  <w:style w:type="paragraph" w:styleId="8">
    <w:name w:val="footer"/>
    <w:basedOn w:val="1"/>
    <w:link w:val="23"/>
    <w:unhideWhenUsed/>
    <w:qFormat/>
    <w:uiPriority w:val="99"/>
    <w:pPr>
      <w:tabs>
        <w:tab w:val="center" w:pos="4153"/>
        <w:tab w:val="right" w:pos="8306"/>
      </w:tabs>
      <w:snapToGrid w:val="0"/>
    </w:pPr>
    <w:rPr>
      <w:sz w:val="18"/>
      <w:szCs w:val="18"/>
    </w:rPr>
  </w:style>
  <w:style w:type="paragraph" w:styleId="9">
    <w:name w:val="header"/>
    <w:basedOn w:val="1"/>
    <w:link w:val="22"/>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unhideWhenUsed/>
    <w:qFormat/>
    <w:uiPriority w:val="39"/>
  </w:style>
  <w:style w:type="paragraph" w:styleId="11">
    <w:name w:val="toc 2"/>
    <w:basedOn w:val="1"/>
    <w:next w:val="1"/>
    <w:unhideWhenUsed/>
    <w:qFormat/>
    <w:uiPriority w:val="39"/>
    <w:pPr>
      <w:ind w:left="420" w:leftChars="200"/>
    </w:pPr>
  </w:style>
  <w:style w:type="paragraph" w:styleId="12">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13">
    <w:name w:val="annotation subject"/>
    <w:basedOn w:val="5"/>
    <w:next w:val="5"/>
    <w:link w:val="27"/>
    <w:semiHidden/>
    <w:unhideWhenUsed/>
    <w:qFormat/>
    <w:uiPriority w:val="99"/>
    <w:rPr>
      <w:b/>
      <w:bCs/>
    </w:rPr>
  </w:style>
  <w:style w:type="character" w:styleId="16">
    <w:name w:val="page number"/>
    <w:basedOn w:val="15"/>
    <w:qFormat/>
    <w:uiPriority w:val="0"/>
  </w:style>
  <w:style w:type="character" w:styleId="17">
    <w:name w:val="Hyperlink"/>
    <w:unhideWhenUsed/>
    <w:qFormat/>
    <w:uiPriority w:val="99"/>
    <w:rPr>
      <w:color w:val="0563C1"/>
      <w:u w:val="single"/>
    </w:rPr>
  </w:style>
  <w:style w:type="character" w:styleId="18">
    <w:name w:val="annotation reference"/>
    <w:basedOn w:val="15"/>
    <w:semiHidden/>
    <w:unhideWhenUsed/>
    <w:qFormat/>
    <w:uiPriority w:val="99"/>
    <w:rPr>
      <w:sz w:val="21"/>
      <w:szCs w:val="21"/>
    </w:rPr>
  </w:style>
  <w:style w:type="table" w:customStyle="1" w:styleId="19">
    <w:name w:val="Table Normal"/>
    <w:semiHidden/>
    <w:unhideWhenUsed/>
    <w:qFormat/>
    <w:uiPriority w:val="2"/>
    <w:pPr>
      <w:widowControl w:val="0"/>
      <w:autoSpaceDE w:val="0"/>
      <w:autoSpaceDN w:val="0"/>
    </w:pPr>
    <w:rPr>
      <w:sz w:val="22"/>
      <w:szCs w:val="22"/>
      <w:lang w:eastAsia="en-US"/>
    </w:rPr>
    <w:tblPr>
      <w:tblCellMar>
        <w:top w:w="0" w:type="dxa"/>
        <w:left w:w="0" w:type="dxa"/>
        <w:bottom w:w="0" w:type="dxa"/>
        <w:right w:w="0" w:type="dxa"/>
      </w:tblCellMar>
    </w:tblPr>
  </w:style>
  <w:style w:type="paragraph" w:styleId="20">
    <w:name w:val="List Paragraph"/>
    <w:basedOn w:val="1"/>
    <w:qFormat/>
    <w:uiPriority w:val="1"/>
  </w:style>
  <w:style w:type="paragraph" w:customStyle="1" w:styleId="21">
    <w:name w:val="Table Paragraph"/>
    <w:basedOn w:val="1"/>
    <w:qFormat/>
    <w:uiPriority w:val="1"/>
  </w:style>
  <w:style w:type="character" w:customStyle="1" w:styleId="22">
    <w:name w:val="页眉 Char"/>
    <w:link w:val="9"/>
    <w:qFormat/>
    <w:uiPriority w:val="99"/>
    <w:rPr>
      <w:rFonts w:ascii="宋体" w:hAnsi="宋体" w:eastAsia="宋体" w:cs="宋体"/>
      <w:sz w:val="18"/>
      <w:szCs w:val="18"/>
      <w:lang w:val="zh-CN" w:eastAsia="zh-CN" w:bidi="zh-CN"/>
    </w:rPr>
  </w:style>
  <w:style w:type="character" w:customStyle="1" w:styleId="23">
    <w:name w:val="页脚 Char"/>
    <w:link w:val="8"/>
    <w:qFormat/>
    <w:uiPriority w:val="99"/>
    <w:rPr>
      <w:rFonts w:ascii="宋体" w:hAnsi="宋体" w:eastAsia="宋体" w:cs="宋体"/>
      <w:sz w:val="18"/>
      <w:szCs w:val="18"/>
      <w:lang w:val="zh-CN" w:eastAsia="zh-CN" w:bidi="zh-CN"/>
    </w:rPr>
  </w:style>
  <w:style w:type="character" w:customStyle="1" w:styleId="24">
    <w:name w:val="标题 2 Char"/>
    <w:link w:val="3"/>
    <w:qFormat/>
    <w:uiPriority w:val="9"/>
    <w:rPr>
      <w:rFonts w:ascii="等线 Light" w:hAnsi="等线 Light" w:eastAsia="等线 Light" w:cs="Times New Roman"/>
      <w:b/>
      <w:bCs/>
      <w:sz w:val="32"/>
      <w:szCs w:val="32"/>
      <w:lang w:val="zh-CN" w:bidi="zh-CN"/>
    </w:rPr>
  </w:style>
  <w:style w:type="paragraph" w:customStyle="1" w:styleId="25">
    <w:name w:val="TOC 标题1"/>
    <w:basedOn w:val="2"/>
    <w:next w:val="1"/>
    <w:unhideWhenUsed/>
    <w:qFormat/>
    <w:uiPriority w:val="39"/>
    <w:pPr>
      <w:keepNext/>
      <w:keepLines/>
      <w:widowControl/>
      <w:autoSpaceDE/>
      <w:autoSpaceDN/>
      <w:spacing w:before="240" w:line="259" w:lineRule="auto"/>
      <w:ind w:left="0"/>
      <w:jc w:val="left"/>
      <w:outlineLvl w:val="9"/>
    </w:pPr>
    <w:rPr>
      <w:rFonts w:ascii="等线 Light" w:hAnsi="等线 Light" w:eastAsia="等线 Light" w:cs="Times New Roman"/>
      <w:b w:val="0"/>
      <w:bCs w:val="0"/>
      <w:color w:val="2F5496"/>
      <w:sz w:val="32"/>
      <w:szCs w:val="32"/>
      <w:lang w:val="en-US" w:bidi="ar-SA"/>
    </w:rPr>
  </w:style>
  <w:style w:type="character" w:customStyle="1" w:styleId="26">
    <w:name w:val="批注文字 Char"/>
    <w:basedOn w:val="15"/>
    <w:link w:val="5"/>
    <w:semiHidden/>
    <w:qFormat/>
    <w:uiPriority w:val="99"/>
    <w:rPr>
      <w:rFonts w:ascii="宋体" w:hAnsi="宋体" w:cs="宋体"/>
      <w:sz w:val="22"/>
      <w:szCs w:val="22"/>
      <w:lang w:val="zh-CN" w:bidi="zh-CN"/>
    </w:rPr>
  </w:style>
  <w:style w:type="character" w:customStyle="1" w:styleId="27">
    <w:name w:val="批注主题 Char"/>
    <w:basedOn w:val="26"/>
    <w:link w:val="13"/>
    <w:semiHidden/>
    <w:qFormat/>
    <w:uiPriority w:val="99"/>
    <w:rPr>
      <w:rFonts w:ascii="宋体" w:hAnsi="宋体" w:cs="宋体"/>
      <w:b/>
      <w:bCs/>
      <w:sz w:val="22"/>
      <w:szCs w:val="22"/>
      <w:lang w:val="zh-CN" w:bidi="zh-CN"/>
    </w:rPr>
  </w:style>
  <w:style w:type="paragraph" w:customStyle="1" w:styleId="28">
    <w:name w:val="修订1"/>
    <w:hidden/>
    <w:semiHidden/>
    <w:qFormat/>
    <w:uiPriority w:val="99"/>
    <w:rPr>
      <w:rFonts w:ascii="宋体" w:hAnsi="宋体" w:eastAsia="宋体" w:cs="宋体"/>
      <w:sz w:val="22"/>
      <w:szCs w:val="22"/>
      <w:lang w:val="zh-CN" w:eastAsia="zh-CN" w:bidi="zh-CN"/>
    </w:rPr>
  </w:style>
  <w:style w:type="character" w:customStyle="1" w:styleId="29">
    <w:name w:val="批注框文本 Char"/>
    <w:basedOn w:val="15"/>
    <w:link w:val="7"/>
    <w:semiHidden/>
    <w:qFormat/>
    <w:uiPriority w:val="99"/>
    <w:rPr>
      <w:rFonts w:ascii="宋体" w:hAnsi="宋体" w:cs="宋体"/>
      <w:sz w:val="18"/>
      <w:szCs w:val="18"/>
      <w:lang w:val="zh-CN" w:bidi="zh-C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D3AC07-F6E5-445A-9154-89E45D11CDC8}">
  <ds:schemaRefs/>
</ds:datastoreItem>
</file>

<file path=docProps/app.xml><?xml version="1.0" encoding="utf-8"?>
<Properties xmlns="http://schemas.openxmlformats.org/officeDocument/2006/extended-properties" xmlns:vt="http://schemas.openxmlformats.org/officeDocument/2006/docPropsVTypes">
  <Template>Normal</Template>
  <Pages>11</Pages>
  <Words>6650</Words>
  <Characters>6654</Characters>
  <Lines>45</Lines>
  <Paragraphs>12</Paragraphs>
  <TotalTime>58</TotalTime>
  <ScaleCrop>false</ScaleCrop>
  <LinksUpToDate>false</LinksUpToDate>
  <CharactersWithSpaces>6705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2022-02-15T08:30:00Z</dcterms:created>
  <dc:creator>微软用户</dc:creator>
  <cp:lastModifiedBy>冰红茶</cp:lastModifiedBy>
  <dcterms:modified xsi:type="dcterms:W3CDTF">2025-10-27T08:42:56Z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2019-04-26T00:00:00Z</vt:filetime>
  </property>
  <property fmtid="{D5CDD505-2E9C-101B-9397-08002B2CF9AE}" pid="3" name="Creator">
    <vt:lpwstr>Microsoft® Office Word 2007</vt:lpwstr>
  </property>
  <property fmtid="{D5CDD505-2E9C-101B-9397-08002B2CF9AE}" pid="4" name="LastSaved">
    <vt:filetime>2019-05-14T00:00:00Z</vt:filetime>
  </property>
  <property fmtid="{D5CDD505-2E9C-101B-9397-08002B2CF9AE}" pid="5" name="KSOProductBuildVer">
    <vt:lpwstr>2052-12.1.0.23125</vt:lpwstr>
  </property>
  <property fmtid="{D5CDD505-2E9C-101B-9397-08002B2CF9AE}" pid="6" name="ICV">
    <vt:lpwstr>4B67C5691C4649598CDB8BDEE83E6155</vt:lpwstr>
  </property>
  <property fmtid="{D5CDD505-2E9C-101B-9397-08002B2CF9AE}" pid="7" name="KSOTemplateDocerSaveRecord">
    <vt:lpwstr>eyJoZGlkIjoiYzY3YjA0NmE2YWYwOGJiZmVjM2RhMWQ2YTgxZmVkMzAiLCJ1c2VySWQiOiI5MDY4NzkzOTkifQ==</vt:lpwstr>
  </property>
</Properties>
</file>